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C3104" w14:textId="12001204" w:rsidR="005A2F58" w:rsidRDefault="005A2F58"/>
    <w:p w14:paraId="33431785" w14:textId="53CE5029" w:rsidR="00957CDF" w:rsidRPr="00957CDF" w:rsidRDefault="00E22B10" w:rsidP="00957CDF">
      <w:pPr>
        <w:jc w:val="center"/>
        <w:rPr>
          <w:b/>
          <w:bCs/>
          <w:color w:val="1F3864" w:themeColor="accent1" w:themeShade="80"/>
          <w:sz w:val="28"/>
          <w:szCs w:val="28"/>
        </w:rPr>
      </w:pPr>
      <w:r>
        <w:rPr>
          <w:b/>
          <w:bCs/>
          <w:color w:val="1F3864" w:themeColor="accent1" w:themeShade="80"/>
          <w:sz w:val="28"/>
          <w:szCs w:val="28"/>
        </w:rPr>
        <w:t>CONTADOR INTELIGENTE DE GAS POR ULTRASONIDO</w:t>
      </w:r>
      <w:r w:rsidR="00957CDF" w:rsidRPr="00957CDF">
        <w:rPr>
          <w:b/>
          <w:bCs/>
          <w:color w:val="1F3864" w:themeColor="accent1" w:themeShade="80"/>
          <w:sz w:val="28"/>
          <w:szCs w:val="28"/>
        </w:rPr>
        <w:t xml:space="preserve"> </w:t>
      </w:r>
      <w:r>
        <w:rPr>
          <w:b/>
          <w:bCs/>
          <w:color w:val="1F3864" w:themeColor="accent1" w:themeShade="80"/>
          <w:sz w:val="28"/>
          <w:szCs w:val="28"/>
        </w:rPr>
        <w:t>“FLUX USM C&amp;I”</w:t>
      </w:r>
    </w:p>
    <w:p w14:paraId="01D29BC7" w14:textId="77777777" w:rsidR="00957CDF" w:rsidRDefault="00957CDF" w:rsidP="00957CDF">
      <w:pPr>
        <w:jc w:val="center"/>
        <w:rPr>
          <w:b/>
          <w:bCs/>
        </w:rPr>
      </w:pPr>
    </w:p>
    <w:p w14:paraId="5403D182" w14:textId="60A4380F" w:rsidR="00957CDF" w:rsidRDefault="00957CDF" w:rsidP="00757239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4DA42DAC" wp14:editId="7D9D2F2E">
            <wp:extent cx="4888992" cy="3730752"/>
            <wp:effectExtent l="0" t="0" r="6985" b="3175"/>
            <wp:docPr id="1850571545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0571545" name="Imagen 185057154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8992" cy="3730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16AE87" w14:textId="77777777" w:rsidR="00D010DF" w:rsidRDefault="00AC6715" w:rsidP="00E22B10">
      <w:pPr>
        <w:jc w:val="both"/>
      </w:pPr>
      <w:r w:rsidRPr="00F72109">
        <w:t xml:space="preserve">El contador inteligente de gas Flux USM se </w:t>
      </w:r>
      <w:r w:rsidR="00563076">
        <w:t>construye sobre</w:t>
      </w:r>
      <w:r w:rsidRPr="00F72109">
        <w:t xml:space="preserve"> tecnología de sensores ultrasónicos</w:t>
      </w:r>
      <w:r w:rsidR="00563076" w:rsidRPr="00563076">
        <w:t xml:space="preserve"> </w:t>
      </w:r>
      <w:r w:rsidR="00563076">
        <w:t>de probada calidad</w:t>
      </w:r>
      <w:r w:rsidRPr="00F72109">
        <w:t xml:space="preserve">, proporcionando mediciones de alta precisión para las redes modernas de gas. </w:t>
      </w:r>
      <w:r w:rsidR="00563076">
        <w:t>D</w:t>
      </w:r>
      <w:r w:rsidRPr="00F72109">
        <w:t>iseñados y fabricados para medir el volumen de gas natural, así como la futura mezcla de gases verdes con hidrógeno</w:t>
      </w:r>
      <w:r w:rsidR="00E22B10">
        <w:t xml:space="preserve"> y </w:t>
      </w:r>
      <w:r w:rsidRPr="00F72109">
        <w:t>biometano</w:t>
      </w:r>
      <w:r w:rsidR="00E22B10">
        <w:t>, así como</w:t>
      </w:r>
      <w:r w:rsidRPr="00F72109">
        <w:t xml:space="preserve"> gas licuado de petróleo (GLP). El sensor de medición de estado sólido no tiene partes móviles</w:t>
      </w:r>
      <w:r w:rsidRPr="00563076">
        <w:t>, evitando así que</w:t>
      </w:r>
      <w:r w:rsidR="00563076" w:rsidRPr="00563076">
        <w:t xml:space="preserve"> su desgaste desvirtúe </w:t>
      </w:r>
      <w:r w:rsidR="00563076">
        <w:t>su</w:t>
      </w:r>
      <w:r w:rsidRPr="00563076">
        <w:t xml:space="preserve"> precisión</w:t>
      </w:r>
      <w:r w:rsidRPr="00F72109">
        <w:t xml:space="preserve">; Por lo tanto, no es necesario reemplazar piezas con el tiempo. La tecnología de medición, basada en el sensor ultrasónico </w:t>
      </w:r>
      <w:r w:rsidR="00E22B10">
        <w:t>de última generación</w:t>
      </w:r>
      <w:r w:rsidRPr="00F72109">
        <w:t xml:space="preserve">, integra los sensores de temperatura y presión para la conversión </w:t>
      </w:r>
      <w:r w:rsidR="00563076">
        <w:t>a</w:t>
      </w:r>
      <w:r w:rsidRPr="00F72109">
        <w:t xml:space="preserve"> volumen permit</w:t>
      </w:r>
      <w:r w:rsidR="00563076">
        <w:t>iendo</w:t>
      </w:r>
      <w:r w:rsidRPr="00F72109">
        <w:t xml:space="preserve"> obtener mediciones y rendimiento de alta precisión </w:t>
      </w:r>
      <w:r w:rsidR="00563076">
        <w:t>según las condiciones establecidas para la facturación de gases</w:t>
      </w:r>
      <w:r w:rsidRPr="00F72109">
        <w:t xml:space="preserve">. </w:t>
      </w:r>
      <w:r w:rsidR="00D010DF">
        <w:t xml:space="preserve">Este contador forma parte de la nueva generación de dispositivos, integrándose perfectamente en las nuevas redes de gas inteligentes y ayudando a los distribuidores y comercializadores en su transición digital hacia las redes </w:t>
      </w:r>
      <w:proofErr w:type="spellStart"/>
      <w:r w:rsidR="00D010DF">
        <w:t>IoT</w:t>
      </w:r>
      <w:proofErr w:type="spellEnd"/>
      <w:r w:rsidR="00D010DF">
        <w:t xml:space="preserve">. </w:t>
      </w:r>
    </w:p>
    <w:p w14:paraId="7865271B" w14:textId="0498AFA4" w:rsidR="00957CDF" w:rsidRDefault="00AC6715" w:rsidP="00E22B10">
      <w:pPr>
        <w:jc w:val="both"/>
      </w:pPr>
      <w:r w:rsidRPr="00F72109">
        <w:t xml:space="preserve">El contador inteligente de gas Flux USM C&amp;I cumple con los requisitos de la norma europea e internacional MID-OIML y se fabrica bajo la marca CE. Su calidad está garantizada </w:t>
      </w:r>
      <w:r w:rsidR="00563076">
        <w:t>con</w:t>
      </w:r>
      <w:r w:rsidRPr="00F72109">
        <w:t xml:space="preserve"> diseño fabricado en Italia, de acuerdo con </w:t>
      </w:r>
      <w:r w:rsidR="00563076">
        <w:t>el restrictivo</w:t>
      </w:r>
      <w:r w:rsidRPr="00F72109">
        <w:t xml:space="preserve"> reglamento italiano de medición inteligente UNI TS 11291, que </w:t>
      </w:r>
      <w:r w:rsidR="00563076">
        <w:t>servirá de estándar internacional de referencia</w:t>
      </w:r>
      <w:r w:rsidRPr="00F72109">
        <w:t xml:space="preserve"> para los contadores inteligentes de gas.  Las soluciones de contadores inteligentes de gas Flux USM C&amp;I</w:t>
      </w:r>
      <w:r w:rsidR="003655D0">
        <w:t xml:space="preserve"> también </w:t>
      </w:r>
      <w:r w:rsidRPr="00F72109">
        <w:t>incluyen</w:t>
      </w:r>
      <w:r w:rsidR="00563076">
        <w:t xml:space="preserve"> </w:t>
      </w:r>
      <w:r w:rsidR="003655D0">
        <w:t>el</w:t>
      </w:r>
      <w:r w:rsidRPr="00F72109">
        <w:t xml:space="preserve"> sistema central de cabe</w:t>
      </w:r>
      <w:r w:rsidR="00563076">
        <w:t>cera</w:t>
      </w:r>
      <w:r w:rsidRPr="00F72109">
        <w:t xml:space="preserve"> </w:t>
      </w:r>
      <w:r w:rsidR="003655D0">
        <w:t xml:space="preserve">(Central Head End </w:t>
      </w:r>
      <w:proofErr w:type="spellStart"/>
      <w:r w:rsidR="003655D0">
        <w:t>System</w:t>
      </w:r>
      <w:proofErr w:type="spellEnd"/>
      <w:r w:rsidR="003655D0">
        <w:t xml:space="preserve">, HES) </w:t>
      </w:r>
      <w:r w:rsidRPr="00F72109">
        <w:t xml:space="preserve">y </w:t>
      </w:r>
      <w:r w:rsidR="003655D0">
        <w:t>el</w:t>
      </w:r>
      <w:r w:rsidRPr="00F72109">
        <w:t xml:space="preserve"> sistema de gestión de datos</w:t>
      </w:r>
      <w:r w:rsidR="003655D0">
        <w:t>, lo que optimiza la gestión de las nuevas</w:t>
      </w:r>
      <w:r w:rsidRPr="00F72109">
        <w:t xml:space="preserve"> redes inteligentes de gas.</w:t>
      </w:r>
    </w:p>
    <w:p w14:paraId="33FF6AD0" w14:textId="77777777" w:rsidR="00563076" w:rsidRDefault="00563076" w:rsidP="00957CDF"/>
    <w:p w14:paraId="618621F9" w14:textId="4B091EE8" w:rsidR="00757239" w:rsidRPr="00F72109" w:rsidRDefault="00757239" w:rsidP="00957CDF">
      <w:pPr>
        <w:rPr>
          <w:b/>
          <w:bCs/>
          <w:color w:val="1F3864" w:themeColor="accent1" w:themeShade="80"/>
        </w:rPr>
      </w:pPr>
      <w:r w:rsidRPr="00F72109">
        <w:rPr>
          <w:b/>
          <w:bCs/>
          <w:color w:val="1F3864" w:themeColor="accent1" w:themeShade="80"/>
        </w:rPr>
        <w:t>Supervisión inteligente integrada</w:t>
      </w:r>
    </w:p>
    <w:p w14:paraId="17340780" w14:textId="0EEA4B39" w:rsidR="00757239" w:rsidRPr="00F72109" w:rsidRDefault="00757239" w:rsidP="003655D0">
      <w:pPr>
        <w:jc w:val="both"/>
      </w:pPr>
      <w:r w:rsidRPr="00F72109">
        <w:t xml:space="preserve">El Flux USM ofrece comprobaciones continuas mediante un sistema de alertas de seguridad, alarmas de hardware, alertas de gestión de baterías, señales de calidad de </w:t>
      </w:r>
      <w:r w:rsidR="003655D0">
        <w:t xml:space="preserve">la red </w:t>
      </w:r>
      <w:r w:rsidRPr="00F72109">
        <w:t>y alertas de fraude. La pantalla LCD ofrece volumen corregido, alarmas y ajustes. El Flux USM registra datos horarios y puede almacenar hasta 90 días</w:t>
      </w:r>
      <w:r w:rsidR="00563076">
        <w:t xml:space="preserve"> de información</w:t>
      </w:r>
      <w:r w:rsidRPr="00F72109">
        <w:t>. El Flux USM cuenta con una interfaz de comunicación remota disponible con</w:t>
      </w:r>
      <w:r w:rsidR="00563076">
        <w:t>:</w:t>
      </w:r>
      <w:r w:rsidRPr="00F72109">
        <w:t xml:space="preserve"> GPRS, cable con salida M Bus o con la última tecnología de comunicación NB-</w:t>
      </w:r>
      <w:proofErr w:type="spellStart"/>
      <w:r w:rsidRPr="00F72109">
        <w:t>IoT</w:t>
      </w:r>
      <w:proofErr w:type="spellEnd"/>
      <w:r w:rsidRPr="00F72109">
        <w:t xml:space="preserve">. El contador también está equipado con una salida de pulsos para el cliente final y una antena externa, lo que garantiza una excelente recepción de señal desde la red </w:t>
      </w:r>
      <w:r w:rsidR="00563076">
        <w:t>móvil</w:t>
      </w:r>
      <w:r w:rsidRPr="00F72109">
        <w:t xml:space="preserve">; en caso de señal deficiente, la antena también </w:t>
      </w:r>
      <w:r w:rsidR="00563076">
        <w:t>se puede instalar en remoto</w:t>
      </w:r>
      <w:r w:rsidRPr="00F72109">
        <w:t xml:space="preserve">. </w:t>
      </w:r>
      <w:r w:rsidR="00563076">
        <w:t>Se trata de un equipo de medición excepcionalmente compacto,</w:t>
      </w:r>
      <w:r w:rsidR="00563076" w:rsidRPr="00563076">
        <w:t xml:space="preserve"> </w:t>
      </w:r>
      <w:r w:rsidR="00563076" w:rsidRPr="00F72109">
        <w:t>ligero y fácil de manejar</w:t>
      </w:r>
      <w:r w:rsidR="00563076">
        <w:t xml:space="preserve"> g</w:t>
      </w:r>
      <w:r w:rsidRPr="00F72109">
        <w:t>racias a la</w:t>
      </w:r>
      <w:r w:rsidR="00563076">
        <w:t xml:space="preserve"> incorporación de un</w:t>
      </w:r>
      <w:r w:rsidRPr="00F72109">
        <w:t xml:space="preserve"> sensor ultrasónico estático</w:t>
      </w:r>
      <w:r w:rsidR="00563076">
        <w:t>.</w:t>
      </w:r>
    </w:p>
    <w:p w14:paraId="08118E08" w14:textId="0D96871B" w:rsidR="00F72109" w:rsidRPr="00F72109" w:rsidRDefault="00F72109" w:rsidP="003655D0">
      <w:pPr>
        <w:jc w:val="both"/>
        <w:rPr>
          <w:b/>
          <w:bCs/>
          <w:color w:val="1F3864" w:themeColor="accent1" w:themeShade="80"/>
        </w:rPr>
      </w:pPr>
      <w:r w:rsidRPr="00F72109">
        <w:rPr>
          <w:b/>
          <w:bCs/>
          <w:color w:val="1F3864" w:themeColor="accent1" w:themeShade="80"/>
        </w:rPr>
        <w:t>Válvula de cierre integrada (opción)</w:t>
      </w:r>
    </w:p>
    <w:p w14:paraId="75F71AEF" w14:textId="39B5121D" w:rsidR="00F72109" w:rsidRPr="00F72109" w:rsidRDefault="00F72109" w:rsidP="003655D0">
      <w:pPr>
        <w:jc w:val="both"/>
      </w:pPr>
      <w:r w:rsidRPr="00F72109">
        <w:t>La válvula integrada</w:t>
      </w:r>
      <w:r w:rsidR="003655D0">
        <w:t xml:space="preserve">, que tiene una </w:t>
      </w:r>
      <w:r w:rsidRPr="00F72109">
        <w:t>pérdida de presión mínima</w:t>
      </w:r>
      <w:r w:rsidR="003655D0">
        <w:t>,</w:t>
      </w:r>
      <w:r w:rsidRPr="00F72109">
        <w:t xml:space="preserve"> se sitúa en la entrada del medidor, dentro de la carcasa; puede controlarse</w:t>
      </w:r>
      <w:r w:rsidR="00563076">
        <w:t xml:space="preserve"> en remoto,</w:t>
      </w:r>
      <w:r w:rsidRPr="00F72109">
        <w:t xml:space="preserve"> tanto para </w:t>
      </w:r>
      <w:r w:rsidR="00563076">
        <w:t>cierre como apertura,</w:t>
      </w:r>
      <w:r w:rsidR="003655D0">
        <w:t xml:space="preserve"> (para esto último, se necesita una </w:t>
      </w:r>
      <w:r w:rsidR="00563076">
        <w:t>autorización</w:t>
      </w:r>
      <w:r w:rsidRPr="00F72109">
        <w:t xml:space="preserve"> remota y </w:t>
      </w:r>
      <w:r w:rsidR="003655D0">
        <w:t>posterior activación local)</w:t>
      </w:r>
      <w:r w:rsidRPr="00F72109">
        <w:t>. La posición de la válvula</w:t>
      </w:r>
      <w:r w:rsidR="00563076">
        <w:t xml:space="preserve">, abierta o cerrada, </w:t>
      </w:r>
      <w:r w:rsidRPr="00F72109">
        <w:t>puede detectarse remotamente en cualquier momento.</w:t>
      </w:r>
    </w:p>
    <w:p w14:paraId="0C323DDE" w14:textId="77777777" w:rsidR="00F72109" w:rsidRPr="00F72109" w:rsidRDefault="00F72109" w:rsidP="00957CDF"/>
    <w:p w14:paraId="7A466359" w14:textId="0FD4C02B" w:rsidR="00F72109" w:rsidRPr="00F72109" w:rsidRDefault="00F72109" w:rsidP="00957CDF">
      <w:pPr>
        <w:rPr>
          <w:b/>
          <w:bCs/>
          <w:color w:val="1F3864" w:themeColor="accent1" w:themeShade="80"/>
        </w:rPr>
      </w:pPr>
      <w:r w:rsidRPr="00F72109">
        <w:rPr>
          <w:b/>
          <w:bCs/>
          <w:color w:val="1F3864" w:themeColor="accent1" w:themeShade="80"/>
        </w:rPr>
        <w:t>Valor a largo plazo</w:t>
      </w:r>
    </w:p>
    <w:p w14:paraId="573FB6E4" w14:textId="5B5C587E" w:rsidR="00F72109" w:rsidRDefault="00F72109" w:rsidP="003655D0">
      <w:pPr>
        <w:jc w:val="both"/>
      </w:pPr>
      <w:r w:rsidRPr="00F72109">
        <w:t xml:space="preserve">Los contadores Flux USM C&amp;I ofrecen una duración </w:t>
      </w:r>
      <w:r w:rsidR="009919F3">
        <w:t xml:space="preserve">muy </w:t>
      </w:r>
      <w:r w:rsidR="00563076">
        <w:t>amplia</w:t>
      </w:r>
      <w:r w:rsidRPr="00F72109">
        <w:t xml:space="preserve"> de la batería</w:t>
      </w:r>
      <w:r w:rsidR="009919F3">
        <w:t xml:space="preserve">, </w:t>
      </w:r>
      <w:r w:rsidRPr="00F72109">
        <w:t xml:space="preserve">hasta 15 años, </w:t>
      </w:r>
      <w:r w:rsidR="00563076">
        <w:t xml:space="preserve">y de 8 años para la batería </w:t>
      </w:r>
      <w:r w:rsidRPr="00F72109">
        <w:t xml:space="preserve">del módulo de transmisión. Planificar los costes de mantenimiento y gestión de activos nunca ha sido </w:t>
      </w:r>
      <w:r w:rsidR="00563076">
        <w:t>más</w:t>
      </w:r>
      <w:r w:rsidRPr="00F72109">
        <w:t xml:space="preserve"> fácil y </w:t>
      </w:r>
      <w:r w:rsidR="00563076">
        <w:t>económico</w:t>
      </w:r>
      <w:r w:rsidRPr="00F72109">
        <w:t xml:space="preserve">. Los contadores Flux USM C&amp;I </w:t>
      </w:r>
      <w:r w:rsidR="00563076">
        <w:t xml:space="preserve">reducen la </w:t>
      </w:r>
      <w:r w:rsidRPr="00F72109">
        <w:t xml:space="preserve">huella </w:t>
      </w:r>
      <w:r w:rsidR="00563076">
        <w:t>medio</w:t>
      </w:r>
      <w:r w:rsidRPr="00F72109">
        <w:t xml:space="preserve">ambiental, lo que permite a las compañías </w:t>
      </w:r>
      <w:r w:rsidR="009919F3">
        <w:t>distribuidora</w:t>
      </w:r>
      <w:r w:rsidRPr="00F72109">
        <w:t xml:space="preserve">s colocarlo donde otros contadores tradicionales de gas </w:t>
      </w:r>
      <w:r w:rsidR="00563076">
        <w:t>no se podrían instalar.</w:t>
      </w:r>
      <w:r w:rsidRPr="00F72109">
        <w:t xml:space="preserve"> </w:t>
      </w:r>
      <w:r w:rsidR="009919F3">
        <w:t>Además, s</w:t>
      </w:r>
      <w:r w:rsidR="00563076">
        <w:t>u</w:t>
      </w:r>
      <w:r w:rsidRPr="00F72109">
        <w:t xml:space="preserve"> reducido </w:t>
      </w:r>
      <w:r w:rsidR="00563076">
        <w:t xml:space="preserve">tamaño </w:t>
      </w:r>
      <w:r w:rsidR="009919F3">
        <w:t>favorece tanto su envío como su almacenaje.</w:t>
      </w:r>
    </w:p>
    <w:p w14:paraId="0AB210BE" w14:textId="77777777" w:rsidR="00563076" w:rsidRDefault="00563076" w:rsidP="003655D0">
      <w:pPr>
        <w:jc w:val="both"/>
      </w:pPr>
    </w:p>
    <w:p w14:paraId="6C390A35" w14:textId="77777777" w:rsidR="00563076" w:rsidRPr="00563076" w:rsidRDefault="00563076" w:rsidP="003655D0">
      <w:pPr>
        <w:jc w:val="both"/>
        <w:rPr>
          <w:b/>
          <w:bCs/>
          <w:color w:val="1F3864" w:themeColor="accent1" w:themeShade="80"/>
        </w:rPr>
      </w:pPr>
      <w:r w:rsidRPr="00563076">
        <w:rPr>
          <w:b/>
          <w:bCs/>
          <w:color w:val="1F3864" w:themeColor="accent1" w:themeShade="80"/>
        </w:rPr>
        <w:t>Verificación y calibración en el campo</w:t>
      </w:r>
    </w:p>
    <w:p w14:paraId="63499481" w14:textId="0AD01EA1" w:rsidR="00563076" w:rsidRPr="00563076" w:rsidRDefault="00563076" w:rsidP="003655D0">
      <w:pPr>
        <w:jc w:val="both"/>
      </w:pPr>
      <w:r>
        <w:t xml:space="preserve">Los contadores inteligentes de gas Flux USM C&amp;I están </w:t>
      </w:r>
      <w:r w:rsidRPr="009919F3">
        <w:t xml:space="preserve">equipados con </w:t>
      </w:r>
      <w:r w:rsidR="009919F3">
        <w:t>conexiones para temperatura y</w:t>
      </w:r>
      <w:r w:rsidRPr="009919F3">
        <w:t xml:space="preserve"> presión</w:t>
      </w:r>
      <w:r>
        <w:t xml:space="preserve"> </w:t>
      </w:r>
      <w:r w:rsidR="009919F3">
        <w:t>que permiten</w:t>
      </w:r>
      <w:r>
        <w:t xml:space="preserve"> verificarla precisión de los sensores</w:t>
      </w:r>
      <w:r w:rsidR="009919F3">
        <w:t xml:space="preserve"> </w:t>
      </w:r>
      <w:r w:rsidR="009C4A9D">
        <w:t>localmente</w:t>
      </w:r>
      <w:r>
        <w:t xml:space="preserve">, </w:t>
      </w:r>
      <w:r w:rsidR="009919F3">
        <w:t>reduciendo</w:t>
      </w:r>
      <w:r>
        <w:t xml:space="preserve"> los costes de mantenimiento si se compara con otras tecnologías de medición. </w:t>
      </w:r>
    </w:p>
    <w:p w14:paraId="06BE3BCF" w14:textId="77777777" w:rsidR="00757239" w:rsidRPr="00563076" w:rsidRDefault="00757239" w:rsidP="003655D0">
      <w:pPr>
        <w:jc w:val="both"/>
      </w:pPr>
    </w:p>
    <w:p w14:paraId="4757E7FD" w14:textId="5679228D" w:rsidR="009919F3" w:rsidRPr="00563076" w:rsidRDefault="009919F3" w:rsidP="009919F3">
      <w:pPr>
        <w:jc w:val="both"/>
        <w:rPr>
          <w:b/>
          <w:bCs/>
          <w:color w:val="1F3864" w:themeColor="accent1" w:themeShade="80"/>
        </w:rPr>
      </w:pPr>
      <w:r>
        <w:rPr>
          <w:b/>
          <w:bCs/>
          <w:color w:val="1F3864" w:themeColor="accent1" w:themeShade="80"/>
        </w:rPr>
        <w:t>Características Básicas</w:t>
      </w:r>
    </w:p>
    <w:p w14:paraId="3FAB5D79" w14:textId="77777777" w:rsidR="009919F3" w:rsidRDefault="009919F3" w:rsidP="009919F3">
      <w:pPr>
        <w:jc w:val="both"/>
      </w:pPr>
      <w:r>
        <w:t>Aprobaciones: MID, ATEX, EN 14236, OIML R137, EN 12405-01, EMC, cumple con la resolución ARG/GAS 631/13 (Ex/155/08) y UNI/TS 11291.</w:t>
      </w:r>
    </w:p>
    <w:p w14:paraId="7A7FF503" w14:textId="77777777" w:rsidR="009919F3" w:rsidRDefault="009919F3" w:rsidP="009919F3">
      <w:pPr>
        <w:jc w:val="both"/>
      </w:pPr>
      <w:r>
        <w:t>Firmware actualizable de forma remota, de acuerdo a WELMEC 7.2</w:t>
      </w:r>
    </w:p>
    <w:p w14:paraId="2FC87E1F" w14:textId="399B4062" w:rsidR="009919F3" w:rsidRDefault="009919F3" w:rsidP="009919F3">
      <w:pPr>
        <w:jc w:val="both"/>
      </w:pPr>
      <w:r>
        <w:t>Baterías diseñadas para una larga vida útil (8 años para transmisión y 15 años para medición).</w:t>
      </w:r>
    </w:p>
    <w:p w14:paraId="6A0586D0" w14:textId="39DE94CA" w:rsidR="00C036F8" w:rsidRDefault="009919F3" w:rsidP="009919F3">
      <w:pPr>
        <w:jc w:val="both"/>
      </w:pPr>
      <w:r>
        <w:lastRenderedPageBreak/>
        <w:t xml:space="preserve">La batería para transmisión </w:t>
      </w:r>
      <w:r w:rsidR="00C036F8">
        <w:t xml:space="preserve">se puede adquirir en </w:t>
      </w:r>
      <w:r w:rsidR="009C4A9D">
        <w:t xml:space="preserve">el </w:t>
      </w:r>
      <w:r w:rsidR="00C036F8">
        <w:t>mercado fácilmente, no está ligado a la electrónica.</w:t>
      </w:r>
    </w:p>
    <w:p w14:paraId="126BBFD6" w14:textId="68C5CC15" w:rsidR="009919F3" w:rsidRDefault="00C036F8" w:rsidP="009919F3">
      <w:pPr>
        <w:jc w:val="both"/>
      </w:pPr>
      <w:r>
        <w:t>Preparado para trabajar con hidrógeno (mezcla de gas natural e hidrógeno hasta un 20%), y con biometano</w:t>
      </w:r>
      <w:r w:rsidR="009919F3">
        <w:t xml:space="preserve"> </w:t>
      </w:r>
      <w:r>
        <w:t>(mezcla de gas natural y biogás de acuerdo a UNI/TS 11537)</w:t>
      </w:r>
    </w:p>
    <w:p w14:paraId="50CE03F4" w14:textId="6A17A888" w:rsidR="00C036F8" w:rsidRDefault="00C036F8" w:rsidP="009919F3">
      <w:pPr>
        <w:jc w:val="both"/>
      </w:pPr>
      <w:r>
        <w:t>Apto para verificación periódica local</w:t>
      </w:r>
    </w:p>
    <w:p w14:paraId="044B6E1C" w14:textId="6524E52C" w:rsidR="00C036F8" w:rsidRDefault="007158DF" w:rsidP="009919F3">
      <w:pPr>
        <w:jc w:val="both"/>
      </w:pPr>
      <w:r>
        <w:t>Con</w:t>
      </w:r>
      <w:r w:rsidR="00C036F8" w:rsidRPr="007158DF">
        <w:t xml:space="preserve"> válvula de </w:t>
      </w:r>
      <w:proofErr w:type="spellStart"/>
      <w:r w:rsidR="00C036F8" w:rsidRPr="007158DF">
        <w:t>shut</w:t>
      </w:r>
      <w:proofErr w:type="spellEnd"/>
      <w:r w:rsidR="00C036F8" w:rsidRPr="007158DF">
        <w:t>-off inte</w:t>
      </w:r>
      <w:r w:rsidRPr="007158DF">
        <w:t>rna</w:t>
      </w:r>
      <w:r>
        <w:t xml:space="preserve"> (opción)</w:t>
      </w:r>
    </w:p>
    <w:p w14:paraId="5692643F" w14:textId="5C834FB3" w:rsidR="007158DF" w:rsidRPr="007158DF" w:rsidRDefault="007158DF" w:rsidP="009919F3">
      <w:pPr>
        <w:jc w:val="both"/>
      </w:pPr>
      <w:r>
        <w:t>Provisto de alarmas para prevenir la manipulación</w:t>
      </w:r>
    </w:p>
    <w:p w14:paraId="364BD10A" w14:textId="77777777" w:rsidR="009919F3" w:rsidRPr="007158DF" w:rsidRDefault="009919F3" w:rsidP="009919F3">
      <w:pPr>
        <w:jc w:val="both"/>
      </w:pPr>
    </w:p>
    <w:sectPr w:rsidR="009919F3" w:rsidRPr="007158DF" w:rsidSect="00957C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878D4" w14:textId="77777777" w:rsidR="00FA50DE" w:rsidRDefault="00FA50DE" w:rsidP="00957CDF">
      <w:pPr>
        <w:spacing w:after="0" w:line="240" w:lineRule="auto"/>
      </w:pPr>
      <w:r>
        <w:separator/>
      </w:r>
    </w:p>
  </w:endnote>
  <w:endnote w:type="continuationSeparator" w:id="0">
    <w:p w14:paraId="4EE77936" w14:textId="77777777" w:rsidR="00FA50DE" w:rsidRDefault="00FA50DE" w:rsidP="00957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69375" w14:textId="77777777" w:rsidR="00933533" w:rsidRDefault="0093353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BCC96" w14:textId="77777777" w:rsidR="00933533" w:rsidRDefault="0093353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9F5C8" w14:textId="77777777" w:rsidR="00933533" w:rsidRDefault="0093353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98010" w14:textId="77777777" w:rsidR="00FA50DE" w:rsidRDefault="00FA50DE" w:rsidP="00957CDF">
      <w:pPr>
        <w:spacing w:after="0" w:line="240" w:lineRule="auto"/>
      </w:pPr>
      <w:r>
        <w:separator/>
      </w:r>
    </w:p>
  </w:footnote>
  <w:footnote w:type="continuationSeparator" w:id="0">
    <w:p w14:paraId="1A5A5F8E" w14:textId="77777777" w:rsidR="00FA50DE" w:rsidRDefault="00FA50DE" w:rsidP="00957C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8264F" w14:textId="77777777" w:rsidR="00933533" w:rsidRDefault="0093353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7153B" w14:textId="12A670AA" w:rsidR="00957CDF" w:rsidRDefault="00957CDF" w:rsidP="00933533">
    <w:pPr>
      <w:pStyle w:val="Encabezado"/>
      <w:ind w:left="-284"/>
    </w:pPr>
    <w:r>
      <w:rPr>
        <w:noProof/>
      </w:rPr>
      <w:drawing>
        <wp:inline distT="0" distB="0" distL="0" distR="0" wp14:anchorId="1ABB34F1" wp14:editId="653A91CE">
          <wp:extent cx="2143125" cy="601557"/>
          <wp:effectExtent l="0" t="0" r="0" b="8255"/>
          <wp:docPr id="99629730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6008938" name="Imagen 12560089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3236" cy="6072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33533">
      <w:t xml:space="preserve">                                                      </w:t>
    </w:r>
    <w:r w:rsidR="00933533">
      <w:rPr>
        <w:noProof/>
      </w:rPr>
      <w:drawing>
        <wp:inline distT="0" distB="0" distL="0" distR="0" wp14:anchorId="7F014070" wp14:editId="2C9BA2E8">
          <wp:extent cx="1672431" cy="819150"/>
          <wp:effectExtent l="0" t="0" r="4445" b="0"/>
          <wp:docPr id="54836224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8362242" name="Imagen 54836224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1680" cy="8236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E80FE" w14:textId="77777777" w:rsidR="00933533" w:rsidRDefault="0093353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CDF"/>
    <w:rsid w:val="000E3B80"/>
    <w:rsid w:val="003655D0"/>
    <w:rsid w:val="00473B38"/>
    <w:rsid w:val="00561A97"/>
    <w:rsid w:val="00563076"/>
    <w:rsid w:val="005A2F58"/>
    <w:rsid w:val="006123BD"/>
    <w:rsid w:val="007158DF"/>
    <w:rsid w:val="00757239"/>
    <w:rsid w:val="008C1100"/>
    <w:rsid w:val="0090269D"/>
    <w:rsid w:val="00933533"/>
    <w:rsid w:val="00957CDF"/>
    <w:rsid w:val="009919F3"/>
    <w:rsid w:val="009C4A9D"/>
    <w:rsid w:val="00AA62BC"/>
    <w:rsid w:val="00AC6715"/>
    <w:rsid w:val="00C036F8"/>
    <w:rsid w:val="00D010DF"/>
    <w:rsid w:val="00DC1D7A"/>
    <w:rsid w:val="00E22B10"/>
    <w:rsid w:val="00E23445"/>
    <w:rsid w:val="00EF4F37"/>
    <w:rsid w:val="00F72109"/>
    <w:rsid w:val="00FA5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7BE7CB"/>
  <w15:chartTrackingRefBased/>
  <w15:docId w15:val="{7BBE49E1-575A-4C80-B377-6B67F1746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57C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57C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57C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57C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57C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57C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57C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57C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57C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57C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57C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57C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57CD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57CDF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57CD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57CD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57CD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57CD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57C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57C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57C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57C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57C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57CD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57CD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57CDF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57C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57CDF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57CDF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57C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7CDF"/>
  </w:style>
  <w:style w:type="paragraph" w:styleId="Piedepgina">
    <w:name w:val="footer"/>
    <w:basedOn w:val="Normal"/>
    <w:link w:val="PiedepginaCar"/>
    <w:uiPriority w:val="99"/>
    <w:unhideWhenUsed/>
    <w:rsid w:val="00957C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7CDF"/>
  </w:style>
  <w:style w:type="character" w:styleId="Textodelmarcadordeposicin">
    <w:name w:val="Placeholder Text"/>
    <w:basedOn w:val="Fuentedeprrafopredeter"/>
    <w:uiPriority w:val="99"/>
    <w:semiHidden/>
    <w:rsid w:val="0056307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709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Martos Marlia</dc:creator>
  <cp:keywords/>
  <dc:description/>
  <cp:lastModifiedBy>Irene Martos Marlia</cp:lastModifiedBy>
  <cp:revision>2</cp:revision>
  <dcterms:created xsi:type="dcterms:W3CDTF">2026-03-25T10:10:00Z</dcterms:created>
  <dcterms:modified xsi:type="dcterms:W3CDTF">2026-03-25T10:10:00Z</dcterms:modified>
</cp:coreProperties>
</file>