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8BDFC" w14:textId="77777777" w:rsidR="00791522" w:rsidRDefault="00791522" w:rsidP="006B2B28">
      <w:pPr>
        <w:rPr>
          <w:sz w:val="28"/>
          <w:szCs w:val="28"/>
        </w:rPr>
      </w:pPr>
      <w:r>
        <w:rPr>
          <w:noProof/>
          <w:lang w:val="nl-NL" w:eastAsia="nl-NL"/>
        </w:rPr>
        <w:drawing>
          <wp:inline distT="0" distB="0" distL="0" distR="0" wp14:anchorId="3DF4C93E" wp14:editId="72D931AD">
            <wp:extent cx="1685925" cy="530680"/>
            <wp:effectExtent l="0" t="0" r="0" b="3175"/>
            <wp:docPr id="2" name="Afbeelding 2" descr="W:\1_3_2_PROJECTEN dienst secretariaat of in samenwerking\Werkgroep nieuwe huisstijl\Sjablonen\Logo (k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1_3_2_PROJECTEN dienst secretariaat of in samenwerking\Werkgroep nieuwe huisstijl\Sjablonen\Logo (k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318" cy="533637"/>
                    </a:xfrm>
                    <a:prstGeom prst="rect">
                      <a:avLst/>
                    </a:prstGeom>
                    <a:noFill/>
                    <a:ln>
                      <a:noFill/>
                    </a:ln>
                  </pic:spPr>
                </pic:pic>
              </a:graphicData>
            </a:graphic>
          </wp:inline>
        </w:drawing>
      </w:r>
    </w:p>
    <w:p w14:paraId="014D38C1" w14:textId="77777777" w:rsidR="00791522" w:rsidRDefault="00791522" w:rsidP="00B80502">
      <w:pPr>
        <w:rPr>
          <w:b/>
          <w:sz w:val="28"/>
          <w:szCs w:val="28"/>
        </w:rPr>
      </w:pPr>
    </w:p>
    <w:p w14:paraId="0A86ED2D" w14:textId="77777777" w:rsidR="00B80502" w:rsidRPr="00B80502" w:rsidRDefault="00B80502" w:rsidP="00791522">
      <w:pPr>
        <w:rPr>
          <w:b/>
          <w:sz w:val="28"/>
          <w:szCs w:val="28"/>
        </w:rPr>
      </w:pPr>
      <w:r w:rsidRPr="00B80502">
        <w:rPr>
          <w:b/>
          <w:sz w:val="28"/>
          <w:szCs w:val="28"/>
        </w:rPr>
        <w:t xml:space="preserve">Bijlage bij de aanvraag van een gemeentelijke </w:t>
      </w:r>
      <w:r>
        <w:rPr>
          <w:b/>
          <w:sz w:val="28"/>
          <w:szCs w:val="28"/>
        </w:rPr>
        <w:t>machtiging praalwagen</w:t>
      </w:r>
    </w:p>
    <w:p w14:paraId="75459F80" w14:textId="77777777" w:rsidR="00B80502" w:rsidRDefault="00B80502" w:rsidP="00B80502">
      <w:r>
        <w:t>De aanvrager dient de toepasselijke bepalingen van de hierna vermelde regelgeving (wetgeving, uitvoeringsbesluiten en omzendbrieven) strikt na te leven.</w:t>
      </w:r>
    </w:p>
    <w:p w14:paraId="0B04FA23" w14:textId="77777777" w:rsidR="00B80502" w:rsidRPr="002E3B80" w:rsidRDefault="00B80502" w:rsidP="00261E55">
      <w:pPr>
        <w:pStyle w:val="Kop1"/>
        <w:spacing w:after="160"/>
        <w:rPr>
          <w:rStyle w:val="Intensieveverwijzing"/>
          <w:sz w:val="24"/>
          <w:szCs w:val="24"/>
        </w:rPr>
      </w:pPr>
      <w:r w:rsidRPr="002E3B80">
        <w:rPr>
          <w:rStyle w:val="Intensieveverwijzing"/>
          <w:sz w:val="24"/>
          <w:szCs w:val="24"/>
        </w:rPr>
        <w:t>1. Begrip praalwagen</w:t>
      </w:r>
    </w:p>
    <w:p w14:paraId="58FCB98D" w14:textId="77777777" w:rsidR="00B80502" w:rsidRPr="00B80502" w:rsidRDefault="00B80502" w:rsidP="00B80502">
      <w:pPr>
        <w:rPr>
          <w:b/>
        </w:rPr>
      </w:pPr>
      <w:r w:rsidRPr="00B80502">
        <w:rPr>
          <w:b/>
        </w:rPr>
        <w:t>1.1. Wat is een praalwagen en wie wordt vrijgesteld?</w:t>
      </w:r>
    </w:p>
    <w:p w14:paraId="72672FD6" w14:textId="77777777" w:rsidR="00B80502" w:rsidRDefault="00B80502" w:rsidP="00B80502">
      <w:r>
        <w:t>(Art. 2, 1° pt. 12)</w:t>
      </w:r>
    </w:p>
    <w:p w14:paraId="7BA307DE" w14:textId="77777777" w:rsidR="00B80502" w:rsidRDefault="00B80502" w:rsidP="00B80502">
      <w:pPr>
        <w:pStyle w:val="Lijstalinea"/>
        <w:numPr>
          <w:ilvl w:val="0"/>
          <w:numId w:val="1"/>
        </w:numPr>
      </w:pPr>
      <w:r>
        <w:t>Zelfrijdende voertuigen gebruikt als praalwagen;</w:t>
      </w:r>
    </w:p>
    <w:p w14:paraId="3871DBD7" w14:textId="77777777" w:rsidR="00B80502" w:rsidRDefault="00B80502" w:rsidP="00B80502">
      <w:pPr>
        <w:pStyle w:val="Lijstalinea"/>
        <w:numPr>
          <w:ilvl w:val="0"/>
          <w:numId w:val="1"/>
        </w:numPr>
      </w:pPr>
      <w:r>
        <w:t>De voertuigen die een praalaanhangwagen trekken en hun aanhangwagens.</w:t>
      </w:r>
    </w:p>
    <w:p w14:paraId="030B9B41" w14:textId="77777777" w:rsidR="00B80502" w:rsidRPr="00B80502" w:rsidRDefault="00B80502" w:rsidP="00B80502">
      <w:pPr>
        <w:rPr>
          <w:b/>
        </w:rPr>
      </w:pPr>
      <w:r w:rsidRPr="00B80502">
        <w:rPr>
          <w:b/>
        </w:rPr>
        <w:t>1.2. Mits welke voorwaarden?</w:t>
      </w:r>
    </w:p>
    <w:p w14:paraId="6F4FBF69" w14:textId="77777777" w:rsidR="00B80502" w:rsidRDefault="00B80502" w:rsidP="00B80502">
      <w:pPr>
        <w:pStyle w:val="Lijstalinea"/>
        <w:numPr>
          <w:ilvl w:val="0"/>
          <w:numId w:val="1"/>
        </w:numPr>
      </w:pPr>
      <w:r>
        <w:t>Bij uitzondering op de openbare weg;</w:t>
      </w:r>
    </w:p>
    <w:p w14:paraId="616F2531" w14:textId="77777777" w:rsidR="00B80502" w:rsidRDefault="00B80502" w:rsidP="00B80502">
      <w:pPr>
        <w:pStyle w:val="Lijstalinea"/>
        <w:numPr>
          <w:ilvl w:val="0"/>
          <w:numId w:val="1"/>
        </w:numPr>
      </w:pPr>
      <w:r>
        <w:t>Ter gelegenheid van toegelaten folkloristische manifestaties;</w:t>
      </w:r>
    </w:p>
    <w:p w14:paraId="7FF2B7EA" w14:textId="77777777" w:rsidR="00B80502" w:rsidRDefault="00B80502" w:rsidP="00B80502">
      <w:pPr>
        <w:pStyle w:val="Lijstalinea"/>
        <w:numPr>
          <w:ilvl w:val="0"/>
          <w:numId w:val="1"/>
        </w:numPr>
      </w:pPr>
      <w:r>
        <w:t>Om zich naar die manifestaties te begeven;</w:t>
      </w:r>
    </w:p>
    <w:p w14:paraId="1D869A86" w14:textId="77777777" w:rsidR="00B80502" w:rsidRDefault="00B80502" w:rsidP="00B80502">
      <w:pPr>
        <w:pStyle w:val="Lijstalinea"/>
        <w:numPr>
          <w:ilvl w:val="0"/>
          <w:numId w:val="1"/>
        </w:numPr>
      </w:pPr>
      <w:r>
        <w:t>Proefritten met het oog op die manifestatie;</w:t>
      </w:r>
    </w:p>
    <w:p w14:paraId="4FE2CCBD" w14:textId="77777777" w:rsidR="00B80502" w:rsidRDefault="00B80502" w:rsidP="00B80502">
      <w:pPr>
        <w:pStyle w:val="Lijstalinea"/>
        <w:numPr>
          <w:ilvl w:val="0"/>
          <w:numId w:val="1"/>
        </w:numPr>
      </w:pPr>
      <w:r>
        <w:t>Snelheid van ten hoogste 25 km/u.</w:t>
      </w:r>
    </w:p>
    <w:p w14:paraId="4AD54221" w14:textId="77777777" w:rsidR="00261E55" w:rsidRDefault="00261E55" w:rsidP="00261E55"/>
    <w:p w14:paraId="7256D329" w14:textId="77777777" w:rsidR="00B80502" w:rsidRPr="002E3B80" w:rsidRDefault="00B80502" w:rsidP="00B80502">
      <w:pPr>
        <w:rPr>
          <w:rStyle w:val="Intensieveverwijzing"/>
          <w:sz w:val="24"/>
          <w:szCs w:val="24"/>
        </w:rPr>
      </w:pPr>
      <w:r w:rsidRPr="002E3B80">
        <w:rPr>
          <w:rStyle w:val="Intensieveverwijzing"/>
          <w:sz w:val="24"/>
          <w:szCs w:val="24"/>
        </w:rPr>
        <w:t>2. Aan welke reglementering dient een praalwagen te voldoen?</w:t>
      </w:r>
    </w:p>
    <w:p w14:paraId="07EFD0AC" w14:textId="77777777" w:rsidR="00B80502" w:rsidRPr="00B80502" w:rsidRDefault="00B80502" w:rsidP="00B80502">
      <w:pPr>
        <w:rPr>
          <w:b/>
        </w:rPr>
      </w:pPr>
      <w:r w:rsidRPr="00B80502">
        <w:rPr>
          <w:b/>
        </w:rPr>
        <w:t>2.1. Overzicht van de wijzigingen KB 27-01-2008 (B.S. 29-01-2008)</w:t>
      </w:r>
    </w:p>
    <w:p w14:paraId="162504DE" w14:textId="77777777" w:rsidR="00B80502" w:rsidRDefault="00B80502" w:rsidP="00B80502">
      <w:r>
        <w:t>De wetgever voorziet in een aantal vrijstellingen en afwijkingen op het vlak van:</w:t>
      </w:r>
    </w:p>
    <w:p w14:paraId="25387CD6" w14:textId="77777777" w:rsidR="00B80502" w:rsidRDefault="00B80502" w:rsidP="00B80502">
      <w:pPr>
        <w:pStyle w:val="Lijstalinea"/>
        <w:numPr>
          <w:ilvl w:val="0"/>
          <w:numId w:val="1"/>
        </w:numPr>
      </w:pPr>
      <w:r>
        <w:t>technisch reglement (KB 15-03-1968);</w:t>
      </w:r>
    </w:p>
    <w:p w14:paraId="0319DC76" w14:textId="77777777" w:rsidR="00B80502" w:rsidRDefault="00B80502" w:rsidP="00B80502">
      <w:pPr>
        <w:pStyle w:val="Lijstalinea"/>
        <w:numPr>
          <w:ilvl w:val="0"/>
          <w:numId w:val="1"/>
        </w:numPr>
      </w:pPr>
      <w:r>
        <w:t>wegcode (KB 01-12-1975);</w:t>
      </w:r>
    </w:p>
    <w:p w14:paraId="122B4F9F" w14:textId="77777777" w:rsidR="00B80502" w:rsidRDefault="00B80502" w:rsidP="00B80502">
      <w:pPr>
        <w:pStyle w:val="Lijstalinea"/>
        <w:numPr>
          <w:ilvl w:val="0"/>
          <w:numId w:val="1"/>
        </w:numPr>
      </w:pPr>
      <w:r>
        <w:t>inschrijving (KB 20-07-2001);</w:t>
      </w:r>
    </w:p>
    <w:p w14:paraId="229A3572" w14:textId="77777777" w:rsidR="00B80502" w:rsidRDefault="00B80502" w:rsidP="00B80502">
      <w:pPr>
        <w:pStyle w:val="Lijstalinea"/>
        <w:numPr>
          <w:ilvl w:val="0"/>
          <w:numId w:val="1"/>
        </w:numPr>
      </w:pPr>
      <w:r>
        <w:t>rijbewijs (KB 23-03-1998).</w:t>
      </w:r>
    </w:p>
    <w:p w14:paraId="1101271D" w14:textId="77777777" w:rsidR="00B80502" w:rsidRDefault="00B80502" w:rsidP="00B80502">
      <w:r>
        <w:t>OPMERKING: geen afwijking op de verplichte aansprakelijkheidsverzekering (Wet 21-11-1989).</w:t>
      </w:r>
    </w:p>
    <w:p w14:paraId="74464F0F" w14:textId="77777777" w:rsidR="00B80502" w:rsidRDefault="00B80502" w:rsidP="00B80502">
      <w:r w:rsidRPr="00B80502">
        <w:rPr>
          <w:b/>
        </w:rPr>
        <w:t>2.2. Overzicht van de bepalingen van de omzendbrief gemeentelijke</w:t>
      </w:r>
      <w:r>
        <w:rPr>
          <w:b/>
        </w:rPr>
        <w:t xml:space="preserve"> </w:t>
      </w:r>
      <w:r w:rsidRPr="00B80502">
        <w:rPr>
          <w:b/>
        </w:rPr>
        <w:t>machtiging van 22-01-2009</w:t>
      </w:r>
    </w:p>
    <w:p w14:paraId="4853F63F" w14:textId="77777777" w:rsidR="00B80502" w:rsidRDefault="00B80502" w:rsidP="00B80502">
      <w:r>
        <w:t>De omzendbrief voorziet in een aantal voorschriften waarmee rekening dient gehouden te worden:</w:t>
      </w:r>
    </w:p>
    <w:p w14:paraId="581ABC35" w14:textId="77777777" w:rsidR="00B80502" w:rsidRDefault="00B80502" w:rsidP="00B80502">
      <w:pPr>
        <w:pStyle w:val="Lijstalinea"/>
        <w:numPr>
          <w:ilvl w:val="0"/>
          <w:numId w:val="1"/>
        </w:numPr>
      </w:pPr>
      <w:r>
        <w:t>de technische staat van het voertuig of de aanhangwagen;</w:t>
      </w:r>
    </w:p>
    <w:p w14:paraId="14B3179F" w14:textId="77777777" w:rsidR="00B80502" w:rsidRDefault="00B80502" w:rsidP="00B80502">
      <w:pPr>
        <w:pStyle w:val="Lijstalinea"/>
        <w:numPr>
          <w:ilvl w:val="0"/>
          <w:numId w:val="1"/>
        </w:numPr>
      </w:pPr>
      <w:r>
        <w:t>het traject;</w:t>
      </w:r>
    </w:p>
    <w:p w14:paraId="359DE47C" w14:textId="77777777" w:rsidR="00B80502" w:rsidRDefault="00B80502" w:rsidP="00B80502">
      <w:pPr>
        <w:pStyle w:val="Lijstalinea"/>
        <w:numPr>
          <w:ilvl w:val="0"/>
          <w:numId w:val="1"/>
        </w:numPr>
      </w:pPr>
      <w:r>
        <w:t>de lading;</w:t>
      </w:r>
    </w:p>
    <w:p w14:paraId="05534BF5" w14:textId="77777777" w:rsidR="00B80502" w:rsidRDefault="00B80502" w:rsidP="00B80502">
      <w:pPr>
        <w:pStyle w:val="Lijstalinea"/>
        <w:numPr>
          <w:ilvl w:val="0"/>
          <w:numId w:val="1"/>
        </w:numPr>
      </w:pPr>
      <w:r>
        <w:t>verzekering;</w:t>
      </w:r>
    </w:p>
    <w:p w14:paraId="6795A07C" w14:textId="77777777" w:rsidR="00B80502" w:rsidRDefault="00B80502" w:rsidP="00B80502">
      <w:pPr>
        <w:pStyle w:val="Lijstalinea"/>
        <w:numPr>
          <w:ilvl w:val="0"/>
          <w:numId w:val="1"/>
        </w:numPr>
      </w:pPr>
      <w:r>
        <w:t>aantal voertuigen: voor elke praalwagen, praalaanhangwagen dient een machtiging aangevraagd te worden, tenzij sleep, waarvoor één machtiging volstaat.</w:t>
      </w:r>
    </w:p>
    <w:p w14:paraId="723AB4DF" w14:textId="77777777" w:rsidR="00261E55" w:rsidRDefault="00261E55" w:rsidP="00261E55"/>
    <w:p w14:paraId="5139CA91" w14:textId="77777777" w:rsidR="00B80502" w:rsidRPr="002E3B80" w:rsidRDefault="00B80502" w:rsidP="00B80502">
      <w:pPr>
        <w:rPr>
          <w:rStyle w:val="Intensieveverwijzing"/>
          <w:sz w:val="24"/>
          <w:szCs w:val="24"/>
        </w:rPr>
      </w:pPr>
      <w:r w:rsidRPr="002E3B80">
        <w:rPr>
          <w:rStyle w:val="Intensieveverwijzing"/>
          <w:sz w:val="24"/>
          <w:szCs w:val="24"/>
        </w:rPr>
        <w:lastRenderedPageBreak/>
        <w:t>3. Technisch reglement (KB 15-03-1968)</w:t>
      </w:r>
    </w:p>
    <w:p w14:paraId="311D0ABF" w14:textId="77777777" w:rsidR="00B80502" w:rsidRPr="00B80502" w:rsidRDefault="00B80502" w:rsidP="00B80502">
      <w:pPr>
        <w:rPr>
          <w:b/>
        </w:rPr>
      </w:pPr>
      <w:r w:rsidRPr="00B80502">
        <w:rPr>
          <w:b/>
        </w:rPr>
        <w:t>3.1. Wat is van toepassing?</w:t>
      </w:r>
    </w:p>
    <w:p w14:paraId="423214B5" w14:textId="77777777" w:rsidR="00B80502" w:rsidRDefault="00B80502" w:rsidP="00B80502">
      <w:pPr>
        <w:pStyle w:val="Lijstalinea"/>
        <w:numPr>
          <w:ilvl w:val="0"/>
          <w:numId w:val="1"/>
        </w:numPr>
      </w:pPr>
      <w:r>
        <w:t>Praalwagens dienen niet geschouwd te worden;</w:t>
      </w:r>
    </w:p>
    <w:p w14:paraId="16513CFF" w14:textId="77777777" w:rsidR="00B80502" w:rsidRDefault="00B80502" w:rsidP="00B80502">
      <w:pPr>
        <w:pStyle w:val="Lijstalinea"/>
        <w:numPr>
          <w:ilvl w:val="0"/>
          <w:numId w:val="1"/>
        </w:numPr>
      </w:pPr>
      <w:r>
        <w:t>Zelfrijdende praalwagens en trekkers: enkel onderworpen aan art. 44 (ruitenwisser – ontdooier – ruitensproeier), art. 45 (reminrichtingen), art. 54 (koppelingen) en art. 70 (blustoestellen en gevaarsdriehoeken);</w:t>
      </w:r>
    </w:p>
    <w:p w14:paraId="459DC2ED" w14:textId="77777777" w:rsidR="00B80502" w:rsidRDefault="00B80502" w:rsidP="00B80502">
      <w:pPr>
        <w:pStyle w:val="Lijstalinea"/>
        <w:numPr>
          <w:ilvl w:val="0"/>
          <w:numId w:val="1"/>
        </w:numPr>
      </w:pPr>
      <w:r>
        <w:t>Praalaanhangwagens zijn niet onderworpen aan de technische voorschriften.</w:t>
      </w:r>
    </w:p>
    <w:p w14:paraId="504BD217" w14:textId="77777777" w:rsidR="00261E55" w:rsidRDefault="00261E55" w:rsidP="00261E55"/>
    <w:p w14:paraId="07C7ADF3" w14:textId="77777777" w:rsidR="00B80502" w:rsidRPr="002E3B80" w:rsidRDefault="00B80502" w:rsidP="00B80502">
      <w:pPr>
        <w:rPr>
          <w:rStyle w:val="Intensieveverwijzing"/>
          <w:sz w:val="24"/>
          <w:szCs w:val="24"/>
        </w:rPr>
      </w:pPr>
      <w:r w:rsidRPr="002E3B80">
        <w:rPr>
          <w:rStyle w:val="Intensieveverwijzing"/>
          <w:sz w:val="24"/>
          <w:szCs w:val="24"/>
        </w:rPr>
        <w:t>4. Wegcode (KB 01-12-1975)</w:t>
      </w:r>
    </w:p>
    <w:p w14:paraId="126904D8" w14:textId="77777777" w:rsidR="00B80502" w:rsidRPr="00B80502" w:rsidRDefault="00B80502" w:rsidP="00B80502">
      <w:pPr>
        <w:rPr>
          <w:b/>
        </w:rPr>
      </w:pPr>
      <w:r w:rsidRPr="00B80502">
        <w:rPr>
          <w:b/>
        </w:rPr>
        <w:t>4.1. Wat is van toepassing?</w:t>
      </w:r>
    </w:p>
    <w:p w14:paraId="61EB8378" w14:textId="77777777" w:rsidR="00B80502" w:rsidRDefault="00B80502" w:rsidP="00B80502">
      <w:r>
        <w:t>Verlichting (Art. 30.3)</w:t>
      </w:r>
    </w:p>
    <w:p w14:paraId="231F8ADB" w14:textId="77777777" w:rsidR="00B80502" w:rsidRDefault="00B80502" w:rsidP="00B80502">
      <w:pPr>
        <w:pStyle w:val="Lijstalinea"/>
        <w:numPr>
          <w:ilvl w:val="0"/>
          <w:numId w:val="1"/>
        </w:numPr>
      </w:pPr>
      <w:r>
        <w:t>Tussen het vallen van de avond en het aanbreken van de dag en in alle omstandigheden wanneer het niet meer mogelijk is duidelijk te zien tot op een afstand van ongeveer 200 meter moeten de voertuigen op weg naar of komende van de manifestatie vooraan een wit of geel licht en achteraan een rood licht voeren. De omtreklichten zijn eveneens verplicht indien het voertuig meer dan 2,5 m breed is.</w:t>
      </w:r>
    </w:p>
    <w:p w14:paraId="0C1EBB7E" w14:textId="77777777" w:rsidR="00B80502" w:rsidRDefault="00B80502" w:rsidP="00B80502">
      <w:pPr>
        <w:pStyle w:val="Lijstalinea"/>
        <w:numPr>
          <w:ilvl w:val="0"/>
          <w:numId w:val="1"/>
        </w:numPr>
      </w:pPr>
      <w:r>
        <w:t>Deze bepaling geldt NIET binnen het door de gemeente afgebakende traject van de manifestatie.</w:t>
      </w:r>
    </w:p>
    <w:p w14:paraId="120B92A3" w14:textId="77777777" w:rsidR="00B80502" w:rsidRDefault="00B80502" w:rsidP="00B80502">
      <w:pPr>
        <w:pStyle w:val="Lijstalinea"/>
        <w:numPr>
          <w:ilvl w:val="0"/>
          <w:numId w:val="1"/>
        </w:numPr>
      </w:pPr>
      <w:r>
        <w:t xml:space="preserve">Art. 46, 48, 49.1, 59.6, 81.1.1, 81.1.2, 81.4.1, 81.4.2, 81.4.3 en 81.6 zijn niet van toepassing </w:t>
      </w:r>
      <w:r w:rsidR="00261E55">
        <w:t xml:space="preserve"> </w:t>
      </w:r>
      <w:r>
        <w:t>(= nieuw artikel 56bis – wegcode i.v.m. folkloristische voertuigen)</w:t>
      </w:r>
    </w:p>
    <w:p w14:paraId="61054417" w14:textId="77777777" w:rsidR="00261E55" w:rsidRDefault="00261E55" w:rsidP="00261E55"/>
    <w:p w14:paraId="22120E22" w14:textId="77777777" w:rsidR="00B80502" w:rsidRPr="00261E55" w:rsidRDefault="00B80502" w:rsidP="00B80502">
      <w:pPr>
        <w:rPr>
          <w:rStyle w:val="Intensieveverwijzing"/>
          <w:sz w:val="24"/>
          <w:szCs w:val="24"/>
        </w:rPr>
      </w:pPr>
      <w:r w:rsidRPr="00261E55">
        <w:rPr>
          <w:rStyle w:val="Intensieveverwijzing"/>
          <w:sz w:val="24"/>
          <w:szCs w:val="24"/>
        </w:rPr>
        <w:t>5. Inschrijving (KB 20-07-2001)</w:t>
      </w:r>
    </w:p>
    <w:p w14:paraId="29B4F7C8" w14:textId="77777777" w:rsidR="00B80502" w:rsidRPr="00B80502" w:rsidRDefault="00B80502" w:rsidP="00B80502">
      <w:pPr>
        <w:rPr>
          <w:b/>
        </w:rPr>
      </w:pPr>
      <w:r w:rsidRPr="00B80502">
        <w:rPr>
          <w:b/>
        </w:rPr>
        <w:t>5.1. Vrijstelling van inschrijving (Art. 2,§2, 7°)</w:t>
      </w:r>
    </w:p>
    <w:p w14:paraId="1E928DCC" w14:textId="77777777" w:rsidR="00B80502" w:rsidRDefault="00B80502" w:rsidP="00B80502">
      <w:r>
        <w:t>De praalwagens (zowel zelfrijdend als getrokken) worden vrijgesteld van de inschrijving.</w:t>
      </w:r>
    </w:p>
    <w:p w14:paraId="7756924A" w14:textId="77777777" w:rsidR="00261E55" w:rsidRDefault="00261E55" w:rsidP="00B80502"/>
    <w:p w14:paraId="4F371027" w14:textId="77777777" w:rsidR="00B80502" w:rsidRPr="00261E55" w:rsidRDefault="00B80502" w:rsidP="00B80502">
      <w:pPr>
        <w:rPr>
          <w:rStyle w:val="Intensieveverwijzing"/>
          <w:sz w:val="24"/>
          <w:szCs w:val="24"/>
        </w:rPr>
      </w:pPr>
      <w:r w:rsidRPr="00261E55">
        <w:rPr>
          <w:rStyle w:val="Intensieveverwijzing"/>
          <w:sz w:val="24"/>
          <w:szCs w:val="24"/>
        </w:rPr>
        <w:t>6. Rijbewijs (KB 23-03-1998)</w:t>
      </w:r>
    </w:p>
    <w:p w14:paraId="0E7377F8" w14:textId="77777777" w:rsidR="00B80502" w:rsidRDefault="00B80502" w:rsidP="00B80502">
      <w:r>
        <w:t>6.1. Welk rijbewijs heb je nodig?</w:t>
      </w:r>
    </w:p>
    <w:p w14:paraId="7ECE29B9" w14:textId="77777777" w:rsidR="00B80502" w:rsidRDefault="00B80502" w:rsidP="00B80502">
      <w:pPr>
        <w:pStyle w:val="Lijstalinea"/>
        <w:numPr>
          <w:ilvl w:val="0"/>
          <w:numId w:val="1"/>
        </w:numPr>
      </w:pPr>
      <w:r>
        <w:t>Rijbewijs (Art. 20§4)</w:t>
      </w:r>
    </w:p>
    <w:p w14:paraId="4623AD18" w14:textId="77777777" w:rsidR="00B80502" w:rsidRDefault="00B80502" w:rsidP="00B80502">
      <w:pPr>
        <w:pStyle w:val="Lijstalinea"/>
        <w:numPr>
          <w:ilvl w:val="0"/>
          <w:numId w:val="1"/>
        </w:numPr>
      </w:pPr>
      <w:r>
        <w:t>Categorie B (18 jaar) of categorie G (16 jaar)</w:t>
      </w:r>
    </w:p>
    <w:p w14:paraId="61B45A8B" w14:textId="77777777" w:rsidR="00B80502" w:rsidRDefault="00B80502" w:rsidP="00B80502">
      <w:r>
        <w:t>Voor het besturen van folkloristische motorvoertuigen volstaat het rijbewijs geldig verklaard voor categorie B of G ongeacht de massa van het voertuig of het aantal zitplaatsen, en dit voor zover zij niet meer dan 25 km per uur rijden.</w:t>
      </w:r>
    </w:p>
    <w:p w14:paraId="5F0264C1" w14:textId="77777777" w:rsidR="00261E55" w:rsidRDefault="00261E55" w:rsidP="00B80502"/>
    <w:p w14:paraId="79E02D48" w14:textId="77777777" w:rsidR="00B80502" w:rsidRPr="00261E55" w:rsidRDefault="00B80502" w:rsidP="00B80502">
      <w:pPr>
        <w:rPr>
          <w:rStyle w:val="Intensieveverwijzing"/>
          <w:sz w:val="24"/>
          <w:szCs w:val="24"/>
        </w:rPr>
      </w:pPr>
      <w:r w:rsidRPr="00261E55">
        <w:rPr>
          <w:rStyle w:val="Intensieveverwijzing"/>
          <w:sz w:val="24"/>
          <w:szCs w:val="24"/>
        </w:rPr>
        <w:t>7. Verplichte aansprakelijkheidsverzekering (Wet 21-11-1989)</w:t>
      </w:r>
    </w:p>
    <w:p w14:paraId="283615F3" w14:textId="77777777" w:rsidR="004A0278" w:rsidRDefault="00B80502" w:rsidP="00B80502">
      <w:r>
        <w:t>Het nieuwe KB voorziet NIET in een vrijstelling voor de Wet van 21-11-1989 inzake de verplichte aansprakelijkheidsverzekering. Een aansprakelijkheidsverzekering is dus steeds verplicht voor elke praalwagen.</w:t>
      </w:r>
    </w:p>
    <w:sectPr w:rsidR="004A0278" w:rsidSect="00261E55">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0DBB0" w14:textId="77777777" w:rsidR="0092676F" w:rsidRDefault="0092676F" w:rsidP="00261E55">
      <w:pPr>
        <w:spacing w:after="0" w:line="240" w:lineRule="auto"/>
      </w:pPr>
      <w:r>
        <w:separator/>
      </w:r>
    </w:p>
  </w:endnote>
  <w:endnote w:type="continuationSeparator" w:id="0">
    <w:p w14:paraId="5F6810D2" w14:textId="77777777" w:rsidR="0092676F" w:rsidRDefault="0092676F" w:rsidP="00261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508879"/>
      <w:docPartObj>
        <w:docPartGallery w:val="Page Numbers (Bottom of Page)"/>
        <w:docPartUnique/>
      </w:docPartObj>
    </w:sdtPr>
    <w:sdtEndPr/>
    <w:sdtContent>
      <w:p w14:paraId="0BD314C8" w14:textId="77777777" w:rsidR="00261E55" w:rsidRDefault="00261E55">
        <w:pPr>
          <w:pStyle w:val="Voettekst"/>
          <w:jc w:val="right"/>
        </w:pPr>
        <w:r w:rsidRPr="00261E55">
          <w:rPr>
            <w:sz w:val="20"/>
            <w:szCs w:val="20"/>
          </w:rPr>
          <w:fldChar w:fldCharType="begin"/>
        </w:r>
        <w:r w:rsidRPr="00261E55">
          <w:rPr>
            <w:sz w:val="20"/>
            <w:szCs w:val="20"/>
          </w:rPr>
          <w:instrText>PAGE   \* MERGEFORMAT</w:instrText>
        </w:r>
        <w:r w:rsidRPr="00261E55">
          <w:rPr>
            <w:sz w:val="20"/>
            <w:szCs w:val="20"/>
          </w:rPr>
          <w:fldChar w:fldCharType="separate"/>
        </w:r>
        <w:r w:rsidR="006B2B28" w:rsidRPr="006B2B28">
          <w:rPr>
            <w:noProof/>
            <w:sz w:val="20"/>
            <w:szCs w:val="20"/>
            <w:lang w:val="nl-NL"/>
          </w:rPr>
          <w:t>2</w:t>
        </w:r>
        <w:r w:rsidRPr="00261E55">
          <w:rPr>
            <w:sz w:val="20"/>
            <w:szCs w:val="20"/>
          </w:rPr>
          <w:fldChar w:fldCharType="end"/>
        </w:r>
      </w:p>
    </w:sdtContent>
  </w:sdt>
  <w:p w14:paraId="3BD10676" w14:textId="77777777" w:rsidR="00261E55" w:rsidRDefault="00261E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942AF" w14:textId="77777777" w:rsidR="0092676F" w:rsidRDefault="0092676F" w:rsidP="00261E55">
      <w:pPr>
        <w:spacing w:after="0" w:line="240" w:lineRule="auto"/>
      </w:pPr>
      <w:r>
        <w:separator/>
      </w:r>
    </w:p>
  </w:footnote>
  <w:footnote w:type="continuationSeparator" w:id="0">
    <w:p w14:paraId="75613955" w14:textId="77777777" w:rsidR="0092676F" w:rsidRDefault="0092676F" w:rsidP="00261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C4E60"/>
    <w:multiLevelType w:val="hybridMultilevel"/>
    <w:tmpl w:val="0FD6C5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5951930"/>
    <w:multiLevelType w:val="hybridMultilevel"/>
    <w:tmpl w:val="03901C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42314B2"/>
    <w:multiLevelType w:val="hybridMultilevel"/>
    <w:tmpl w:val="6A6AE5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2DE51C8"/>
    <w:multiLevelType w:val="hybridMultilevel"/>
    <w:tmpl w:val="41164E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968324E"/>
    <w:multiLevelType w:val="hybridMultilevel"/>
    <w:tmpl w:val="265E4F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3266961"/>
    <w:multiLevelType w:val="hybridMultilevel"/>
    <w:tmpl w:val="15ACC4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CE72168"/>
    <w:multiLevelType w:val="hybridMultilevel"/>
    <w:tmpl w:val="BB9268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02"/>
    <w:rsid w:val="00261E55"/>
    <w:rsid w:val="002E3B80"/>
    <w:rsid w:val="004A0278"/>
    <w:rsid w:val="004A2A6F"/>
    <w:rsid w:val="006B2B28"/>
    <w:rsid w:val="00791522"/>
    <w:rsid w:val="00811849"/>
    <w:rsid w:val="0092676F"/>
    <w:rsid w:val="00943A92"/>
    <w:rsid w:val="009B2050"/>
    <w:rsid w:val="00B80502"/>
    <w:rsid w:val="00F931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BC6C"/>
  <w15:docId w15:val="{A2AE678C-C684-0646-8C8F-F1533281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05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0502"/>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B80502"/>
    <w:pPr>
      <w:ind w:left="720"/>
      <w:contextualSpacing/>
    </w:pPr>
  </w:style>
  <w:style w:type="character" w:styleId="Intensieveverwijzing">
    <w:name w:val="Intense Reference"/>
    <w:basedOn w:val="Standaardalinea-lettertype"/>
    <w:uiPriority w:val="32"/>
    <w:qFormat/>
    <w:rsid w:val="00B80502"/>
    <w:rPr>
      <w:b/>
      <w:bCs/>
      <w:smallCaps/>
      <w:color w:val="4472C4" w:themeColor="accent1"/>
      <w:spacing w:val="5"/>
    </w:rPr>
  </w:style>
  <w:style w:type="paragraph" w:styleId="Koptekst">
    <w:name w:val="header"/>
    <w:basedOn w:val="Standaard"/>
    <w:link w:val="KoptekstChar"/>
    <w:uiPriority w:val="99"/>
    <w:unhideWhenUsed/>
    <w:rsid w:val="00261E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1E55"/>
  </w:style>
  <w:style w:type="paragraph" w:styleId="Voettekst">
    <w:name w:val="footer"/>
    <w:basedOn w:val="Standaard"/>
    <w:link w:val="VoettekstChar"/>
    <w:uiPriority w:val="99"/>
    <w:unhideWhenUsed/>
    <w:rsid w:val="00261E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1E55"/>
  </w:style>
  <w:style w:type="paragraph" w:styleId="Ballontekst">
    <w:name w:val="Balloon Text"/>
    <w:basedOn w:val="Standaard"/>
    <w:link w:val="BallontekstChar"/>
    <w:uiPriority w:val="99"/>
    <w:semiHidden/>
    <w:unhideWhenUsed/>
    <w:rsid w:val="006B2B2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B2B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2948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Delplace</dc:creator>
  <cp:keywords/>
  <dc:description/>
  <cp:lastModifiedBy>Matthias Remue</cp:lastModifiedBy>
  <cp:revision>2</cp:revision>
  <dcterms:created xsi:type="dcterms:W3CDTF">2021-08-13T20:31:00Z</dcterms:created>
  <dcterms:modified xsi:type="dcterms:W3CDTF">2021-08-13T20:31:00Z</dcterms:modified>
</cp:coreProperties>
</file>