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5D449">
      <w:pPr>
        <w:tabs>
          <w:tab w:val="left" w:pos="4990"/>
        </w:tabs>
        <w:spacing w:after="0"/>
        <w:ind w:left="0"/>
        <w:rPr>
          <w:rFonts w:ascii="Bradley Hand ITC" w:hAnsi="Bradley Hand ITC" w:cs="Arial"/>
          <w:b/>
          <w:i/>
          <w:sz w:val="50"/>
          <w:szCs w:val="50"/>
          <w:u w:val="single"/>
        </w:rPr>
      </w:pPr>
      <w:r>
        <w:rPr>
          <w:rFonts w:ascii="Bradley Hand ITC" w:hAnsi="Bradley Hand ITC" w:cs="Arial"/>
          <w:b/>
          <w:i/>
          <w:sz w:val="50"/>
          <w:szCs w:val="50"/>
        </w:rPr>
        <w:t xml:space="preserve">             </w:t>
      </w:r>
      <w:r>
        <w:rPr>
          <w:rFonts w:ascii="Bradley Hand ITC" w:hAnsi="Bradley Hand ITC" w:cs="Arial"/>
          <w:b/>
          <w:i/>
          <w:sz w:val="50"/>
          <w:szCs w:val="50"/>
          <w:u w:val="single"/>
        </w:rPr>
        <w:t>CARTA DE VINOS</w:t>
      </w:r>
    </w:p>
    <w:p w14:paraId="2030384C">
      <w:pPr>
        <w:tabs>
          <w:tab w:val="left" w:pos="4990"/>
        </w:tabs>
        <w:spacing w:after="0"/>
        <w:ind w:left="0"/>
        <w:rPr>
          <w:rFonts w:ascii="Bradley Hand ITC" w:hAnsi="Bradley Hand ITC" w:cs="Arial"/>
          <w:b/>
          <w:i/>
          <w:sz w:val="50"/>
          <w:szCs w:val="50"/>
          <w:u w:val="single"/>
        </w:rPr>
      </w:pPr>
      <w:r>
        <w:rPr>
          <w:rFonts w:ascii="Bradley Hand ITC" w:hAnsi="Bradley Hand ITC" w:cs="Arial"/>
          <w:b/>
          <w:i/>
          <w:sz w:val="50"/>
          <w:szCs w:val="50"/>
        </w:rPr>
        <w:t xml:space="preserve">         </w:t>
      </w:r>
      <w:r>
        <w:rPr>
          <w:rFonts w:ascii="Bradley Hand ITC" w:hAnsi="Bradley Hand ITC" w:cs="Arial"/>
          <w:b/>
          <w:i/>
          <w:sz w:val="50"/>
          <w:szCs w:val="50"/>
          <w:u w:val="single"/>
        </w:rPr>
        <w:t>WINES/WEINE/VINS</w:t>
      </w:r>
    </w:p>
    <w:p w14:paraId="56F48F4B">
      <w:pPr>
        <w:tabs>
          <w:tab w:val="left" w:pos="4990"/>
        </w:tabs>
        <w:spacing w:after="0"/>
        <w:ind w:left="0"/>
        <w:rPr>
          <w:rFonts w:ascii="Bradley Hand ITC" w:hAnsi="Bradley Hand ITC" w:cs="Arial"/>
          <w:b/>
          <w:i/>
          <w:sz w:val="40"/>
          <w:szCs w:val="40"/>
          <w:u w:val="single"/>
        </w:rPr>
      </w:pPr>
    </w:p>
    <w:p w14:paraId="5E526FD0">
      <w:pPr>
        <w:tabs>
          <w:tab w:val="left" w:pos="4990"/>
        </w:tabs>
        <w:spacing w:after="0"/>
        <w:ind w:left="0"/>
        <w:rPr>
          <w:rFonts w:ascii="Bradley Hand ITC" w:hAnsi="Bradley Hand ITC" w:cs="Arial"/>
          <w:b/>
          <w:i/>
          <w:sz w:val="40"/>
          <w:szCs w:val="40"/>
          <w:u w:val="single"/>
        </w:rPr>
      </w:pPr>
    </w:p>
    <w:p w14:paraId="26F87651">
      <w:pPr>
        <w:tabs>
          <w:tab w:val="left" w:pos="4990"/>
        </w:tabs>
        <w:spacing w:after="0"/>
        <w:ind w:left="0"/>
        <w:rPr>
          <w:rFonts w:ascii="Bradley Hand ITC" w:hAnsi="Bradley Hand ITC" w:cs="Arial"/>
          <w:b/>
          <w:i/>
          <w:sz w:val="50"/>
          <w:szCs w:val="50"/>
          <w:u w:val="single"/>
        </w:rPr>
      </w:pPr>
      <w:r>
        <w:rPr>
          <w:rFonts w:ascii="Bradley Hand ITC" w:hAnsi="Bradley Hand ITC" w:cs="Arial"/>
          <w:b/>
          <w:i/>
          <w:sz w:val="50"/>
          <w:szCs w:val="50"/>
        </w:rPr>
        <w:t xml:space="preserve">   </w:t>
      </w:r>
      <w:r>
        <w:rPr>
          <w:rFonts w:ascii="Bradley Hand ITC" w:hAnsi="Bradley Hand ITC" w:cs="Arial"/>
          <w:b/>
          <w:i/>
          <w:sz w:val="50"/>
          <w:szCs w:val="50"/>
          <w:u w:val="single"/>
        </w:rPr>
        <w:t>VINOS TINTOS/RED WINES</w:t>
      </w:r>
    </w:p>
    <w:p w14:paraId="4C1ED904">
      <w:pPr>
        <w:tabs>
          <w:tab w:val="left" w:pos="4990"/>
        </w:tabs>
        <w:spacing w:after="0"/>
        <w:ind w:left="0"/>
        <w:rPr>
          <w:rFonts w:ascii="Bradley Hand ITC" w:hAnsi="Bradley Hand ITC" w:cs="Arial"/>
          <w:b/>
          <w:i/>
          <w:sz w:val="50"/>
          <w:szCs w:val="50"/>
          <w:u w:val="single"/>
        </w:rPr>
      </w:pPr>
      <w:r>
        <w:rPr>
          <w:rFonts w:ascii="Bradley Hand ITC" w:hAnsi="Bradley Hand ITC" w:cs="Arial"/>
          <w:b/>
          <w:i/>
          <w:sz w:val="50"/>
          <w:szCs w:val="50"/>
        </w:rPr>
        <w:t xml:space="preserve">      </w:t>
      </w:r>
      <w:r>
        <w:rPr>
          <w:rFonts w:ascii="Bradley Hand ITC" w:hAnsi="Bradley Hand ITC" w:cs="Arial"/>
          <w:b/>
          <w:i/>
          <w:sz w:val="50"/>
          <w:szCs w:val="50"/>
          <w:u w:val="single"/>
        </w:rPr>
        <w:t>ROTWEINE/VIN ROUGE</w:t>
      </w:r>
    </w:p>
    <w:p w14:paraId="18F56CCE">
      <w:pPr>
        <w:tabs>
          <w:tab w:val="left" w:pos="4990"/>
        </w:tabs>
        <w:spacing w:after="0"/>
        <w:ind w:left="0"/>
        <w:rPr>
          <w:rFonts w:ascii="Bradley Hand ITC" w:hAnsi="Bradley Hand ITC" w:cs="Arial"/>
          <w:b/>
          <w:i/>
          <w:sz w:val="40"/>
          <w:szCs w:val="40"/>
          <w:u w:val="single"/>
        </w:rPr>
      </w:pPr>
    </w:p>
    <w:p w14:paraId="3301B1AB">
      <w:pPr>
        <w:tabs>
          <w:tab w:val="left" w:pos="4990"/>
        </w:tabs>
        <w:spacing w:after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Copa de vino de la casa/ Glass house wine                                     2,90 €</w:t>
      </w:r>
    </w:p>
    <w:p w14:paraId="4E6F26D2">
      <w:pPr>
        <w:tabs>
          <w:tab w:val="left" w:pos="4990"/>
        </w:tabs>
        <w:spacing w:after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Copa de vino tinto Ribera de Duero                                                 3,50 €</w:t>
      </w:r>
    </w:p>
    <w:p w14:paraId="2429CE49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Vino de la casa/House Wine (Hoya de Cadenas Reserva)          15,50 €</w:t>
      </w:r>
    </w:p>
    <w:p w14:paraId="584DDB74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i/>
          <w:sz w:val="40"/>
          <w:szCs w:val="40"/>
          <w:u w:val="single"/>
        </w:rPr>
      </w:pPr>
      <w:r>
        <w:rPr>
          <w:rFonts w:ascii="Bradley Hand ITC" w:hAnsi="Bradley Hand ITC" w:cs="Arial"/>
          <w:b/>
          <w:sz w:val="28"/>
          <w:szCs w:val="28"/>
        </w:rPr>
        <w:t>Jarra de Sangría de 1 litro                                                           19,00 €</w:t>
      </w:r>
    </w:p>
    <w:p w14:paraId="2E97ECBA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Enate único         (Somontano)                                                   16,50 €</w:t>
      </w:r>
    </w:p>
    <w:p w14:paraId="386A737C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Marqués de Cáceres Crianza           (Rioja)                                17,50 €</w:t>
      </w:r>
    </w:p>
    <w:p w14:paraId="58116B4A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Azpilicueta Crianza         (Rioja)                                                18,00 €</w:t>
      </w:r>
    </w:p>
    <w:p w14:paraId="4A137613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Muga Crianza          (Rioja)                                                        30,00 €</w:t>
      </w:r>
    </w:p>
    <w:p w14:paraId="59808638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Marqués de Murrieta  Reserva             (Rioja)                            40,00 €</w:t>
      </w:r>
    </w:p>
    <w:p w14:paraId="0BE6778E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Semele              (Ribera de Duero)       Botella   0,5 l                   16,00 €</w:t>
      </w:r>
    </w:p>
    <w:p w14:paraId="5D868F30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Emilio Moro       (Ribera de Duero)       Botella 0,5 l                   24,00 €</w:t>
      </w:r>
    </w:p>
    <w:p w14:paraId="49C59092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Prado Rey roble        (Ribera de Duero)                                       17,00 €</w:t>
      </w:r>
    </w:p>
    <w:p w14:paraId="1919F0D4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Protos Roble              (Ribera de Duero)                                       17,00 €</w:t>
      </w:r>
    </w:p>
    <w:p w14:paraId="64A91E3B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Semele      75 cl        (Ribera de Duero)                                       21,00 €</w:t>
      </w:r>
    </w:p>
    <w:p w14:paraId="62533D3B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Emilio Moro           (Ribera de Duero)                                          41,00 €</w:t>
      </w:r>
    </w:p>
    <w:p w14:paraId="7CD871EA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Pago de Carraovejas Crianza  (Ribera de Duero)                        65,00 €</w:t>
      </w:r>
    </w:p>
    <w:p w14:paraId="393137B6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40"/>
          <w:szCs w:val="40"/>
        </w:rPr>
      </w:pPr>
    </w:p>
    <w:p w14:paraId="6E60BB10">
      <w:pPr>
        <w:tabs>
          <w:tab w:val="left" w:pos="6045"/>
          <w:tab w:val="left" w:pos="7371"/>
        </w:tabs>
        <w:spacing w:after="0"/>
        <w:ind w:right="0"/>
        <w:jc w:val="center"/>
        <w:rPr>
          <w:rFonts w:ascii="Bradley Hand ITC" w:hAnsi="Bradley Hand ITC" w:cs="Arial"/>
          <w:b/>
          <w:i/>
          <w:sz w:val="50"/>
          <w:szCs w:val="50"/>
          <w:u w:val="single"/>
        </w:rPr>
      </w:pPr>
      <w:r>
        <w:rPr>
          <w:rFonts w:ascii="Bradley Hand ITC" w:hAnsi="Bradley Hand ITC" w:cs="Arial"/>
          <w:b/>
          <w:i/>
          <w:sz w:val="50"/>
          <w:szCs w:val="50"/>
          <w:u w:val="single"/>
        </w:rPr>
        <w:t>VINOS BLANCOS/WHITE WINES</w:t>
      </w:r>
    </w:p>
    <w:p w14:paraId="2E7CC5E6">
      <w:pPr>
        <w:tabs>
          <w:tab w:val="left" w:pos="6045"/>
          <w:tab w:val="left" w:pos="7371"/>
        </w:tabs>
        <w:spacing w:after="0"/>
        <w:ind w:right="0"/>
        <w:jc w:val="center"/>
        <w:rPr>
          <w:rFonts w:ascii="Bradley Hand ITC" w:hAnsi="Bradley Hand ITC" w:cs="Arial"/>
          <w:b/>
          <w:i/>
          <w:sz w:val="40"/>
          <w:szCs w:val="40"/>
          <w:u w:val="single"/>
        </w:rPr>
      </w:pPr>
      <w:r>
        <w:rPr>
          <w:rFonts w:ascii="Bradley Hand ITC" w:hAnsi="Bradley Hand ITC" w:cs="Arial"/>
          <w:b/>
          <w:i/>
          <w:sz w:val="50"/>
          <w:szCs w:val="50"/>
          <w:u w:val="single"/>
        </w:rPr>
        <w:t>WEISSWEIN/VIN BLANC</w:t>
      </w:r>
    </w:p>
    <w:p w14:paraId="3BFD1822">
      <w:pPr>
        <w:tabs>
          <w:tab w:val="left" w:pos="6045"/>
          <w:tab w:val="left" w:pos="7371"/>
        </w:tabs>
        <w:spacing w:after="0"/>
        <w:ind w:right="0"/>
        <w:jc w:val="center"/>
        <w:rPr>
          <w:rFonts w:ascii="Bradley Hand ITC" w:hAnsi="Bradley Hand ITC" w:cs="Arial"/>
          <w:b/>
          <w:i/>
          <w:sz w:val="20"/>
          <w:szCs w:val="20"/>
          <w:u w:val="single"/>
        </w:rPr>
      </w:pPr>
    </w:p>
    <w:p w14:paraId="2DF633F3">
      <w:pPr>
        <w:tabs>
          <w:tab w:val="left" w:pos="6045"/>
          <w:tab w:val="left" w:pos="7371"/>
        </w:tabs>
        <w:spacing w:after="0"/>
        <w:ind w:right="0"/>
        <w:jc w:val="center"/>
        <w:rPr>
          <w:rFonts w:ascii="Bradley Hand ITC" w:hAnsi="Bradley Hand ITC" w:cs="Arial"/>
          <w:b/>
          <w:i/>
          <w:sz w:val="16"/>
          <w:szCs w:val="16"/>
          <w:u w:val="single"/>
        </w:rPr>
      </w:pPr>
    </w:p>
    <w:p w14:paraId="4867FB48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Copa de vino blanco de la casa/Glass housewine                          2,90 €</w:t>
      </w:r>
    </w:p>
    <w:p w14:paraId="0CDC54A0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Copa de vino blanco verdejo                                                            3.50 €</w:t>
      </w:r>
    </w:p>
    <w:p w14:paraId="68127F1D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Vino de la casa/ House Wine                                                       15,50 €</w:t>
      </w:r>
    </w:p>
    <w:p w14:paraId="12B719B1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Viñasol de Torres (Penedés)                                                         16,00 €</w:t>
      </w:r>
    </w:p>
    <w:p w14:paraId="3CC305AE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Marqués de Riscal Verdejo (Rueda)                                            18,50 €</w:t>
      </w:r>
    </w:p>
    <w:p w14:paraId="0A8F7B58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José Pariente Sauvignon (Rueda)                                               21,00 €</w:t>
      </w:r>
    </w:p>
    <w:p w14:paraId="72E43127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José Pariente verdejo(Rueda)                                                        21,00 € </w:t>
      </w:r>
    </w:p>
    <w:p w14:paraId="5761FAF7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Perro verde (Rueda)                                                                      21,00 € </w:t>
      </w:r>
    </w:p>
    <w:p w14:paraId="3F424052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Terras Gaudas Albariño (Rias Baixas)                                      29,00 €</w:t>
      </w:r>
    </w:p>
    <w:p w14:paraId="224ED97C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</w:p>
    <w:p w14:paraId="62951A2C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</w:p>
    <w:p w14:paraId="03436FC2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</w:p>
    <w:p w14:paraId="09162420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</w:p>
    <w:p w14:paraId="202E962D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</w:p>
    <w:p w14:paraId="05D895AB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</w:p>
    <w:p w14:paraId="6FF90F54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</w:p>
    <w:p w14:paraId="30E453B1">
      <w:pPr>
        <w:tabs>
          <w:tab w:val="left" w:pos="6045"/>
          <w:tab w:val="left" w:pos="7371"/>
        </w:tabs>
        <w:spacing w:after="0"/>
        <w:ind w:left="0" w:right="0"/>
        <w:rPr>
          <w:rFonts w:ascii="Bradley Hand ITC" w:hAnsi="Bradley Hand ITC" w:cs="Arial"/>
          <w:b/>
          <w:i/>
          <w:sz w:val="16"/>
          <w:szCs w:val="16"/>
          <w:u w:val="single"/>
        </w:rPr>
      </w:pPr>
    </w:p>
    <w:p w14:paraId="69AD1A51">
      <w:pPr>
        <w:tabs>
          <w:tab w:val="left" w:pos="6045"/>
          <w:tab w:val="left" w:pos="7371"/>
        </w:tabs>
        <w:spacing w:after="0"/>
        <w:ind w:right="0"/>
        <w:jc w:val="center"/>
        <w:rPr>
          <w:rFonts w:ascii="Bradley Hand ITC" w:hAnsi="Bradley Hand ITC" w:cs="Arial"/>
          <w:b/>
          <w:i/>
          <w:sz w:val="50"/>
          <w:szCs w:val="50"/>
          <w:u w:val="single"/>
        </w:rPr>
      </w:pPr>
      <w:r>
        <w:rPr>
          <w:rFonts w:ascii="Bradley Hand ITC" w:hAnsi="Bradley Hand ITC" w:cs="Arial"/>
          <w:b/>
          <w:i/>
          <w:sz w:val="50"/>
          <w:szCs w:val="50"/>
          <w:u w:val="single"/>
        </w:rPr>
        <w:t>ROSADOS/ROSE WINES ROSÉWEIN/VIN ROSÉ</w:t>
      </w:r>
    </w:p>
    <w:p w14:paraId="7BBF8A44">
      <w:pPr>
        <w:tabs>
          <w:tab w:val="left" w:pos="6045"/>
          <w:tab w:val="left" w:pos="7371"/>
        </w:tabs>
        <w:spacing w:after="0"/>
        <w:ind w:left="0" w:right="0"/>
        <w:rPr>
          <w:rFonts w:ascii="Bradley Hand ITC" w:hAnsi="Bradley Hand ITC" w:cs="Arial"/>
          <w:b/>
          <w:i/>
          <w:sz w:val="40"/>
          <w:szCs w:val="40"/>
          <w:u w:val="single"/>
        </w:rPr>
      </w:pPr>
    </w:p>
    <w:p w14:paraId="14013C7F">
      <w:pPr>
        <w:tabs>
          <w:tab w:val="left" w:pos="6045"/>
          <w:tab w:val="left" w:pos="7371"/>
        </w:tabs>
        <w:spacing w:after="0"/>
        <w:ind w:right="0"/>
        <w:jc w:val="center"/>
        <w:rPr>
          <w:rFonts w:ascii="Bradley Hand ITC" w:hAnsi="Bradley Hand ITC" w:cs="Arial"/>
          <w:b/>
          <w:i/>
          <w:sz w:val="40"/>
          <w:szCs w:val="40"/>
          <w:u w:val="single"/>
        </w:rPr>
      </w:pPr>
    </w:p>
    <w:p w14:paraId="04768353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Copa de vino de la casa/Glas  housewine                                       2,90 €</w:t>
      </w:r>
    </w:p>
    <w:p w14:paraId="11CB7F4F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Vino de la casa/ House Wine                                                       15,50 €</w:t>
      </w:r>
    </w:p>
    <w:p w14:paraId="58A25382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Marqués de Cáceres (Rioja)                                                         16,00 €</w:t>
      </w:r>
    </w:p>
    <w:p w14:paraId="16F6F05A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Muga (Rioja)                                                                               18,00 €</w:t>
      </w:r>
    </w:p>
    <w:p w14:paraId="2C0C0224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</w:p>
    <w:p w14:paraId="2BA3D221">
      <w:pPr>
        <w:tabs>
          <w:tab w:val="left" w:pos="6045"/>
          <w:tab w:val="left" w:pos="7371"/>
        </w:tabs>
        <w:spacing w:after="0"/>
        <w:ind w:right="0"/>
        <w:jc w:val="center"/>
        <w:rPr>
          <w:rFonts w:ascii="Bradley Hand ITC" w:hAnsi="Bradley Hand ITC" w:cs="Arial"/>
          <w:b/>
          <w:i/>
          <w:sz w:val="16"/>
          <w:szCs w:val="16"/>
          <w:u w:val="single"/>
        </w:rPr>
      </w:pPr>
    </w:p>
    <w:p w14:paraId="556277F1">
      <w:pPr>
        <w:tabs>
          <w:tab w:val="left" w:pos="6045"/>
          <w:tab w:val="left" w:pos="7371"/>
        </w:tabs>
        <w:spacing w:after="0"/>
        <w:ind w:right="0"/>
        <w:jc w:val="center"/>
        <w:rPr>
          <w:rFonts w:ascii="Bradley Hand ITC" w:hAnsi="Bradley Hand ITC" w:cs="Arial"/>
          <w:b/>
          <w:i/>
          <w:sz w:val="40"/>
          <w:szCs w:val="40"/>
          <w:u w:val="single"/>
        </w:rPr>
      </w:pPr>
    </w:p>
    <w:p w14:paraId="48C88A54">
      <w:pPr>
        <w:tabs>
          <w:tab w:val="left" w:pos="6045"/>
          <w:tab w:val="left" w:pos="7371"/>
        </w:tabs>
        <w:spacing w:after="0"/>
        <w:ind w:right="0"/>
        <w:jc w:val="center"/>
        <w:rPr>
          <w:rFonts w:ascii="Bradley Hand ITC" w:hAnsi="Bradley Hand ITC" w:cs="Arial"/>
          <w:b/>
          <w:i/>
          <w:sz w:val="40"/>
          <w:szCs w:val="40"/>
          <w:u w:val="single"/>
        </w:rPr>
      </w:pPr>
    </w:p>
    <w:p w14:paraId="0A6302C7">
      <w:pPr>
        <w:tabs>
          <w:tab w:val="left" w:pos="6045"/>
          <w:tab w:val="left" w:pos="7371"/>
        </w:tabs>
        <w:spacing w:after="0"/>
        <w:ind w:right="0"/>
        <w:jc w:val="center"/>
        <w:rPr>
          <w:rFonts w:ascii="Bradley Hand ITC" w:hAnsi="Bradley Hand ITC" w:cs="Arial"/>
          <w:b/>
          <w:i/>
          <w:sz w:val="40"/>
          <w:szCs w:val="40"/>
          <w:u w:val="single"/>
        </w:rPr>
      </w:pPr>
    </w:p>
    <w:p w14:paraId="7B8DE5D7">
      <w:pPr>
        <w:tabs>
          <w:tab w:val="left" w:pos="6045"/>
          <w:tab w:val="left" w:pos="7371"/>
        </w:tabs>
        <w:spacing w:after="0"/>
        <w:ind w:left="0" w:right="0"/>
        <w:rPr>
          <w:rFonts w:ascii="Bradley Hand ITC" w:hAnsi="Bradley Hand ITC" w:cs="Arial"/>
          <w:b/>
          <w:i/>
          <w:sz w:val="40"/>
          <w:szCs w:val="40"/>
          <w:u w:val="single"/>
        </w:rPr>
      </w:pPr>
    </w:p>
    <w:p w14:paraId="509A8110">
      <w:pPr>
        <w:tabs>
          <w:tab w:val="left" w:pos="6045"/>
          <w:tab w:val="left" w:pos="7371"/>
        </w:tabs>
        <w:spacing w:after="0"/>
        <w:ind w:right="0"/>
        <w:jc w:val="center"/>
        <w:rPr>
          <w:rFonts w:ascii="Bradley Hand ITC" w:hAnsi="Bradley Hand ITC" w:cs="Arial"/>
          <w:b/>
          <w:i/>
          <w:sz w:val="50"/>
          <w:szCs w:val="50"/>
          <w:u w:val="single"/>
        </w:rPr>
      </w:pPr>
      <w:r>
        <w:rPr>
          <w:rFonts w:ascii="Bradley Hand ITC" w:hAnsi="Bradley Hand ITC" w:cs="Arial"/>
          <w:b/>
          <w:i/>
          <w:sz w:val="50"/>
          <w:szCs w:val="50"/>
          <w:u w:val="single"/>
        </w:rPr>
        <w:t xml:space="preserve">CAVAS Y CHAMPAGNES </w:t>
      </w:r>
    </w:p>
    <w:p w14:paraId="126FAAB5">
      <w:pPr>
        <w:tabs>
          <w:tab w:val="left" w:pos="6045"/>
          <w:tab w:val="left" w:pos="7371"/>
        </w:tabs>
        <w:spacing w:after="0"/>
        <w:ind w:right="0"/>
        <w:jc w:val="center"/>
        <w:rPr>
          <w:rFonts w:ascii="Bradley Hand ITC" w:hAnsi="Bradley Hand ITC" w:cs="Arial"/>
          <w:b/>
          <w:i/>
          <w:sz w:val="40"/>
          <w:szCs w:val="40"/>
          <w:u w:val="single"/>
        </w:rPr>
      </w:pPr>
    </w:p>
    <w:p w14:paraId="13B16A78">
      <w:pPr>
        <w:tabs>
          <w:tab w:val="left" w:pos="6045"/>
          <w:tab w:val="left" w:pos="7371"/>
        </w:tabs>
        <w:spacing w:after="0"/>
        <w:ind w:right="0"/>
        <w:jc w:val="center"/>
        <w:rPr>
          <w:rFonts w:ascii="Bradley Hand ITC" w:hAnsi="Bradley Hand ITC" w:cs="Arial"/>
          <w:b/>
          <w:i/>
          <w:sz w:val="40"/>
          <w:szCs w:val="40"/>
          <w:u w:val="single"/>
        </w:rPr>
      </w:pPr>
    </w:p>
    <w:p w14:paraId="73E5DC89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Copa de cava de la casa  (brut nature)                                         3,50 €</w:t>
      </w:r>
    </w:p>
    <w:p w14:paraId="0217AEA4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Sangría de cava 1 litro                                                                19,00 €</w:t>
      </w:r>
    </w:p>
    <w:p w14:paraId="4AFF35FC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Cava de la casa   brut nature                                                       16,00 €</w:t>
      </w:r>
    </w:p>
    <w:p w14:paraId="40103666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i/>
          <w:sz w:val="40"/>
          <w:szCs w:val="40"/>
          <w:u w:val="single"/>
        </w:rPr>
      </w:pPr>
      <w:r>
        <w:rPr>
          <w:rFonts w:ascii="Bradley Hand ITC" w:hAnsi="Bradley Hand ITC" w:cs="Arial"/>
          <w:b/>
          <w:sz w:val="28"/>
          <w:szCs w:val="28"/>
        </w:rPr>
        <w:t>Ana de Codorniu                                                                          19,00 €</w:t>
      </w:r>
    </w:p>
    <w:p w14:paraId="08273A19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>Juve y Camps  Brut Nature                                                         27,00 €</w:t>
      </w:r>
    </w:p>
    <w:p w14:paraId="72E25E8D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>Moet Chandon Imperial                                                               75,00 €</w:t>
      </w:r>
    </w:p>
    <w:p w14:paraId="0A54A9B6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Bradley Hand ITC" w:hAnsi="Bradley Hand ITC" w:cs="Arial"/>
          <w:b/>
          <w:sz w:val="28"/>
          <w:szCs w:val="28"/>
          <w:lang w:val="en-US"/>
        </w:rPr>
        <w:t>Veuve Cliquot Brut                                                                       90,00 €</w:t>
      </w:r>
    </w:p>
    <w:sectPr>
      <w:pgSz w:w="9923" w:h="16840"/>
      <w:pgMar w:top="567" w:right="851" w:bottom="567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radley Hand ITC">
    <w:panose1 w:val="03070402050302030203"/>
    <w:charset w:val="00"/>
    <w:family w:val="script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cumentProtection w:enforcement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DC"/>
    <w:rsid w:val="00000C48"/>
    <w:rsid w:val="000101A7"/>
    <w:rsid w:val="00042397"/>
    <w:rsid w:val="000578E7"/>
    <w:rsid w:val="00065948"/>
    <w:rsid w:val="00066AC3"/>
    <w:rsid w:val="00083784"/>
    <w:rsid w:val="000922DB"/>
    <w:rsid w:val="00092C6E"/>
    <w:rsid w:val="00093B49"/>
    <w:rsid w:val="00094D95"/>
    <w:rsid w:val="000B0D80"/>
    <w:rsid w:val="000C7301"/>
    <w:rsid w:val="000F1F40"/>
    <w:rsid w:val="000F419B"/>
    <w:rsid w:val="00101F7A"/>
    <w:rsid w:val="00110FC6"/>
    <w:rsid w:val="001129F2"/>
    <w:rsid w:val="00120A02"/>
    <w:rsid w:val="00123B0B"/>
    <w:rsid w:val="001313FE"/>
    <w:rsid w:val="00133AD6"/>
    <w:rsid w:val="00145600"/>
    <w:rsid w:val="00146C52"/>
    <w:rsid w:val="00161EDE"/>
    <w:rsid w:val="0016482E"/>
    <w:rsid w:val="00165A1B"/>
    <w:rsid w:val="001660D2"/>
    <w:rsid w:val="00171094"/>
    <w:rsid w:val="00182CDE"/>
    <w:rsid w:val="00195F66"/>
    <w:rsid w:val="001A4B91"/>
    <w:rsid w:val="001C0255"/>
    <w:rsid w:val="001E1391"/>
    <w:rsid w:val="001E1EE0"/>
    <w:rsid w:val="001E2C89"/>
    <w:rsid w:val="001E474E"/>
    <w:rsid w:val="0020672A"/>
    <w:rsid w:val="00206D5C"/>
    <w:rsid w:val="00210994"/>
    <w:rsid w:val="00212641"/>
    <w:rsid w:val="00214FED"/>
    <w:rsid w:val="00216195"/>
    <w:rsid w:val="00226FA0"/>
    <w:rsid w:val="002279D5"/>
    <w:rsid w:val="00234542"/>
    <w:rsid w:val="00234B99"/>
    <w:rsid w:val="00271CF1"/>
    <w:rsid w:val="002832F7"/>
    <w:rsid w:val="00292EF8"/>
    <w:rsid w:val="00294AE4"/>
    <w:rsid w:val="002C3EF4"/>
    <w:rsid w:val="003011A5"/>
    <w:rsid w:val="0031026C"/>
    <w:rsid w:val="003309C3"/>
    <w:rsid w:val="00332303"/>
    <w:rsid w:val="00334E96"/>
    <w:rsid w:val="00335D78"/>
    <w:rsid w:val="00340753"/>
    <w:rsid w:val="00370AAA"/>
    <w:rsid w:val="00377F48"/>
    <w:rsid w:val="003A7C1E"/>
    <w:rsid w:val="003B5135"/>
    <w:rsid w:val="003C4B51"/>
    <w:rsid w:val="003E1E96"/>
    <w:rsid w:val="003E460C"/>
    <w:rsid w:val="00415C3B"/>
    <w:rsid w:val="0044158E"/>
    <w:rsid w:val="00450616"/>
    <w:rsid w:val="00461A5E"/>
    <w:rsid w:val="00464056"/>
    <w:rsid w:val="004775A8"/>
    <w:rsid w:val="004A0B80"/>
    <w:rsid w:val="004A0EBD"/>
    <w:rsid w:val="004A6BDD"/>
    <w:rsid w:val="004D30F5"/>
    <w:rsid w:val="004F2283"/>
    <w:rsid w:val="00501B5B"/>
    <w:rsid w:val="005401DE"/>
    <w:rsid w:val="0054165C"/>
    <w:rsid w:val="00552A78"/>
    <w:rsid w:val="005560D1"/>
    <w:rsid w:val="005568A3"/>
    <w:rsid w:val="005703B5"/>
    <w:rsid w:val="005719D0"/>
    <w:rsid w:val="005725FD"/>
    <w:rsid w:val="00574982"/>
    <w:rsid w:val="0058017C"/>
    <w:rsid w:val="00580A9A"/>
    <w:rsid w:val="00585D53"/>
    <w:rsid w:val="005A6884"/>
    <w:rsid w:val="005B3E56"/>
    <w:rsid w:val="005B4A8C"/>
    <w:rsid w:val="005F36AE"/>
    <w:rsid w:val="00604F5E"/>
    <w:rsid w:val="00605AA6"/>
    <w:rsid w:val="0062018C"/>
    <w:rsid w:val="00624769"/>
    <w:rsid w:val="0063761B"/>
    <w:rsid w:val="00640C1B"/>
    <w:rsid w:val="00644ECD"/>
    <w:rsid w:val="0065424B"/>
    <w:rsid w:val="00654B13"/>
    <w:rsid w:val="00662327"/>
    <w:rsid w:val="00681197"/>
    <w:rsid w:val="00683714"/>
    <w:rsid w:val="00694417"/>
    <w:rsid w:val="006A5897"/>
    <w:rsid w:val="006F77ED"/>
    <w:rsid w:val="007004A6"/>
    <w:rsid w:val="007013E0"/>
    <w:rsid w:val="00701442"/>
    <w:rsid w:val="00723446"/>
    <w:rsid w:val="00724586"/>
    <w:rsid w:val="007416F4"/>
    <w:rsid w:val="00766801"/>
    <w:rsid w:val="007751B4"/>
    <w:rsid w:val="0078461A"/>
    <w:rsid w:val="0078613E"/>
    <w:rsid w:val="00797E97"/>
    <w:rsid w:val="007A3501"/>
    <w:rsid w:val="007A50EB"/>
    <w:rsid w:val="007B332E"/>
    <w:rsid w:val="007C030D"/>
    <w:rsid w:val="007C0D19"/>
    <w:rsid w:val="007E46B0"/>
    <w:rsid w:val="00824901"/>
    <w:rsid w:val="00834B3F"/>
    <w:rsid w:val="008439CD"/>
    <w:rsid w:val="00853953"/>
    <w:rsid w:val="00857302"/>
    <w:rsid w:val="00860CAA"/>
    <w:rsid w:val="00881533"/>
    <w:rsid w:val="008D3AF9"/>
    <w:rsid w:val="008E07A2"/>
    <w:rsid w:val="008F7E60"/>
    <w:rsid w:val="009224A3"/>
    <w:rsid w:val="00931F0B"/>
    <w:rsid w:val="00935C93"/>
    <w:rsid w:val="009437E4"/>
    <w:rsid w:val="00956151"/>
    <w:rsid w:val="00956695"/>
    <w:rsid w:val="00975EC8"/>
    <w:rsid w:val="009801E8"/>
    <w:rsid w:val="00987BBE"/>
    <w:rsid w:val="009D36CD"/>
    <w:rsid w:val="009D4BD1"/>
    <w:rsid w:val="009E077C"/>
    <w:rsid w:val="009F0C9F"/>
    <w:rsid w:val="00A01D7A"/>
    <w:rsid w:val="00A12734"/>
    <w:rsid w:val="00A35F77"/>
    <w:rsid w:val="00A44622"/>
    <w:rsid w:val="00A6626A"/>
    <w:rsid w:val="00A67621"/>
    <w:rsid w:val="00A71FFB"/>
    <w:rsid w:val="00A80574"/>
    <w:rsid w:val="00A96748"/>
    <w:rsid w:val="00AA32AB"/>
    <w:rsid w:val="00AB575C"/>
    <w:rsid w:val="00AC4A10"/>
    <w:rsid w:val="00AC4EA0"/>
    <w:rsid w:val="00AD0DDA"/>
    <w:rsid w:val="00AE13E7"/>
    <w:rsid w:val="00AF45FC"/>
    <w:rsid w:val="00B0647E"/>
    <w:rsid w:val="00B23B77"/>
    <w:rsid w:val="00B372A2"/>
    <w:rsid w:val="00B455B3"/>
    <w:rsid w:val="00B5372F"/>
    <w:rsid w:val="00B64796"/>
    <w:rsid w:val="00B9720A"/>
    <w:rsid w:val="00B973A3"/>
    <w:rsid w:val="00BA0332"/>
    <w:rsid w:val="00BA1E23"/>
    <w:rsid w:val="00BA44CD"/>
    <w:rsid w:val="00BA4704"/>
    <w:rsid w:val="00BA4F39"/>
    <w:rsid w:val="00BC3B4F"/>
    <w:rsid w:val="00BD321E"/>
    <w:rsid w:val="00BE2CBF"/>
    <w:rsid w:val="00BF440C"/>
    <w:rsid w:val="00C0344E"/>
    <w:rsid w:val="00C0583B"/>
    <w:rsid w:val="00C12CF7"/>
    <w:rsid w:val="00C359B6"/>
    <w:rsid w:val="00C36C34"/>
    <w:rsid w:val="00C60590"/>
    <w:rsid w:val="00C63D7A"/>
    <w:rsid w:val="00C65644"/>
    <w:rsid w:val="00C76124"/>
    <w:rsid w:val="00C8159D"/>
    <w:rsid w:val="00C819A3"/>
    <w:rsid w:val="00C97FFA"/>
    <w:rsid w:val="00CB1E75"/>
    <w:rsid w:val="00CC1EE4"/>
    <w:rsid w:val="00CC557F"/>
    <w:rsid w:val="00CD53AD"/>
    <w:rsid w:val="00CD60F2"/>
    <w:rsid w:val="00CD745C"/>
    <w:rsid w:val="00CE0994"/>
    <w:rsid w:val="00CE3841"/>
    <w:rsid w:val="00CE58DF"/>
    <w:rsid w:val="00CF330B"/>
    <w:rsid w:val="00D006B9"/>
    <w:rsid w:val="00D0186B"/>
    <w:rsid w:val="00D0465C"/>
    <w:rsid w:val="00D13CFC"/>
    <w:rsid w:val="00D356DC"/>
    <w:rsid w:val="00D86BDC"/>
    <w:rsid w:val="00DA2E89"/>
    <w:rsid w:val="00DB418E"/>
    <w:rsid w:val="00DD653F"/>
    <w:rsid w:val="00DE5E89"/>
    <w:rsid w:val="00DF26F8"/>
    <w:rsid w:val="00E0599F"/>
    <w:rsid w:val="00E10271"/>
    <w:rsid w:val="00E13262"/>
    <w:rsid w:val="00E15AAD"/>
    <w:rsid w:val="00E35763"/>
    <w:rsid w:val="00E37879"/>
    <w:rsid w:val="00E4481D"/>
    <w:rsid w:val="00E53728"/>
    <w:rsid w:val="00E65934"/>
    <w:rsid w:val="00E93464"/>
    <w:rsid w:val="00EA3815"/>
    <w:rsid w:val="00EB118A"/>
    <w:rsid w:val="00EB20AA"/>
    <w:rsid w:val="00EC5615"/>
    <w:rsid w:val="00ED03B3"/>
    <w:rsid w:val="00ED0976"/>
    <w:rsid w:val="00EE184D"/>
    <w:rsid w:val="00EF292C"/>
    <w:rsid w:val="00F176EC"/>
    <w:rsid w:val="00F26F8A"/>
    <w:rsid w:val="00F40F1B"/>
    <w:rsid w:val="00F42F94"/>
    <w:rsid w:val="00F5145B"/>
    <w:rsid w:val="00F65F28"/>
    <w:rsid w:val="00F6792D"/>
    <w:rsid w:val="00F86298"/>
    <w:rsid w:val="00FC4F44"/>
    <w:rsid w:val="00FD6C26"/>
    <w:rsid w:val="00FE1E88"/>
    <w:rsid w:val="00FE3B9A"/>
    <w:rsid w:val="00FE5E6A"/>
    <w:rsid w:val="00FF21AE"/>
    <w:rsid w:val="144405BC"/>
    <w:rsid w:val="488B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ind w:left="-851" w:right="-851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5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570</Words>
  <Characters>3136</Characters>
  <Lines>26</Lines>
  <Paragraphs>7</Paragraphs>
  <TotalTime>159</TotalTime>
  <ScaleCrop>false</ScaleCrop>
  <LinksUpToDate>false</LinksUpToDate>
  <CharactersWithSpaces>3699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2016-01-24T18:28:00Z</dcterms:created>
  <dc:creator>javier</dc:creator>
  <cp:lastModifiedBy>WPS_1757751828</cp:lastModifiedBy>
  <cp:lastPrinted>2020-01-30T07:17:00Z</cp:lastPrinted>
  <dcterms:modified xsi:type="dcterms:W3CDTF">2026-02-05T20:10:30Z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A701F14FBB5D4D2C84D87D25DA5A17BA_12</vt:lpwstr>
  </property>
</Properties>
</file>