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2400" w14:textId="19E2CD54" w:rsidR="00AF67AC" w:rsidRDefault="00AF67AC"/>
    <w:p w14:paraId="0F66F517" w14:textId="62869273" w:rsidR="00AF67AC" w:rsidRDefault="00AF67AC"/>
    <w:p w14:paraId="39F4F9ED" w14:textId="38E8CDB4" w:rsidR="00AF67AC" w:rsidRDefault="00AF67AC"/>
    <w:p w14:paraId="49F73E50" w14:textId="3BEE0427" w:rsidR="00AF67AC" w:rsidRPr="00AF67AC" w:rsidRDefault="00AF67AC">
      <w:pPr>
        <w:rPr>
          <w:rFonts w:cstheme="minorHAnsi"/>
          <w:sz w:val="20"/>
          <w:szCs w:val="20"/>
        </w:rPr>
      </w:pPr>
    </w:p>
    <w:p w14:paraId="33B1607B" w14:textId="0CF8BEDB" w:rsidR="00CA7396" w:rsidRPr="00FE5B77" w:rsidRDefault="00CA7396" w:rsidP="00CA7396">
      <w:pPr>
        <w:pStyle w:val="Titre3"/>
        <w:jc w:val="right"/>
      </w:pPr>
      <w:r w:rsidRPr="00FE5B77">
        <w:t>AUTO ECOLE VILLA</w:t>
      </w:r>
    </w:p>
    <w:p w14:paraId="36CF10C5" w14:textId="77777777" w:rsidR="00CA7396" w:rsidRPr="00FE5B77" w:rsidRDefault="00CA7396" w:rsidP="00CA7396">
      <w:pPr>
        <w:pStyle w:val="Titre3"/>
        <w:jc w:val="right"/>
      </w:pPr>
      <w:r w:rsidRPr="00FE5B77">
        <w:t xml:space="preserve">8 PLACE THIERS </w:t>
      </w:r>
    </w:p>
    <w:p w14:paraId="40C33759" w14:textId="77777777" w:rsidR="00CA7396" w:rsidRDefault="00CA7396" w:rsidP="00CA7396">
      <w:pPr>
        <w:pStyle w:val="Titre3"/>
        <w:jc w:val="right"/>
      </w:pPr>
      <w:r w:rsidRPr="00FE5B77">
        <w:t>54 700 PONT A MOUSSON</w:t>
      </w:r>
    </w:p>
    <w:p w14:paraId="1C2F2CBF" w14:textId="77777777" w:rsidR="00CA7396" w:rsidRPr="00FE5B77" w:rsidRDefault="00CA7396" w:rsidP="00CA7396"/>
    <w:p w14:paraId="58D465F0" w14:textId="6D35B86B" w:rsidR="00CA7396" w:rsidRPr="009F7F35" w:rsidRDefault="00CA7396" w:rsidP="00CA7396">
      <w:pPr>
        <w:pStyle w:val="Titre1"/>
        <w:jc w:val="center"/>
      </w:pPr>
      <w:r>
        <w:t xml:space="preserve">REGLEMENT INTERIEUR AUTO ECOLE </w:t>
      </w:r>
      <w:r w:rsidR="001A00BD">
        <w:t>VILLA</w:t>
      </w:r>
    </w:p>
    <w:p w14:paraId="25F8EF43" w14:textId="24F94B30" w:rsidR="00AF67AC" w:rsidRDefault="00AF67AC">
      <w:pPr>
        <w:rPr>
          <w:rFonts w:cstheme="minorHAnsi"/>
          <w:sz w:val="20"/>
          <w:szCs w:val="20"/>
        </w:rPr>
      </w:pPr>
    </w:p>
    <w:p w14:paraId="0AC6384C" w14:textId="77777777" w:rsidR="00CA7396" w:rsidRPr="00AF67AC" w:rsidRDefault="00CA7396">
      <w:pPr>
        <w:rPr>
          <w:rFonts w:cstheme="minorHAnsi"/>
          <w:sz w:val="20"/>
          <w:szCs w:val="20"/>
        </w:rPr>
      </w:pPr>
    </w:p>
    <w:p w14:paraId="6D6FC8B5" w14:textId="3286833B" w:rsidR="00AF67AC" w:rsidRPr="00AF67AC" w:rsidRDefault="00AF67AC" w:rsidP="00AF67AC">
      <w:pPr>
        <w:rPr>
          <w:rFonts w:cstheme="minorHAnsi"/>
          <w:sz w:val="20"/>
          <w:szCs w:val="20"/>
        </w:rPr>
      </w:pPr>
      <w:r>
        <w:t xml:space="preserve">Ce règlement a pour objectif de définir les règles relatives à l'hygiène, à la sécurité ainsi qu'à la discipline nécessaire au bon fonctionnement de l'établissement. </w:t>
      </w:r>
    </w:p>
    <w:p w14:paraId="7B97DBB5" w14:textId="609E64A5" w:rsidR="00AF67AC" w:rsidRDefault="00AF67AC" w:rsidP="00AF67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67AC">
        <w:rPr>
          <w:rFonts w:asciiTheme="minorHAnsi" w:hAnsiTheme="minorHAnsi" w:cstheme="minorHAnsi"/>
          <w:sz w:val="22"/>
          <w:szCs w:val="22"/>
        </w:rPr>
        <w:t>Ce </w:t>
      </w:r>
      <w:r>
        <w:rPr>
          <w:rFonts w:asciiTheme="minorHAnsi" w:hAnsiTheme="minorHAnsi" w:cstheme="minorHAnsi"/>
          <w:sz w:val="22"/>
          <w:szCs w:val="22"/>
        </w:rPr>
        <w:t>règlement est applicable par l’ensemble des élèves.</w:t>
      </w:r>
      <w:r w:rsidRPr="00AF67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0FAD5D" w14:textId="77777777" w:rsidR="00D25F00" w:rsidRDefault="00AF67AC" w:rsidP="00AF67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67AC">
        <w:rPr>
          <w:rFonts w:asciiTheme="minorHAnsi" w:hAnsiTheme="minorHAnsi" w:cstheme="minorHAnsi"/>
          <w:sz w:val="22"/>
          <w:szCs w:val="22"/>
        </w:rPr>
        <w:t>Article 1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Règles d'hygiène et de sécurité</w:t>
      </w:r>
      <w:r w:rsidRPr="00AF67AC">
        <w:rPr>
          <w:rFonts w:asciiTheme="minorHAnsi" w:hAnsiTheme="minorHAnsi" w:cstheme="minorHAnsi"/>
          <w:sz w:val="22"/>
          <w:szCs w:val="22"/>
        </w:rPr>
        <w:br/>
        <w:t>- prescriptions applicables en matière d'hygiène et de sécurité sur les lieux de formation.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2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Consignes de sécurité</w:t>
      </w:r>
      <w:r w:rsidRPr="00AF67AC">
        <w:rPr>
          <w:rFonts w:asciiTheme="minorHAnsi" w:hAnsiTheme="minorHAnsi" w:cstheme="minorHAnsi"/>
          <w:sz w:val="22"/>
          <w:szCs w:val="22"/>
        </w:rPr>
        <w:br/>
        <w:t xml:space="preserve">- consignes </w:t>
      </w:r>
      <w:proofErr w:type="gramStart"/>
      <w:r w:rsidRPr="00AF67AC">
        <w:rPr>
          <w:rFonts w:asciiTheme="minorHAnsi" w:hAnsiTheme="minorHAnsi" w:cstheme="minorHAnsi"/>
          <w:sz w:val="22"/>
          <w:szCs w:val="22"/>
        </w:rPr>
        <w:t>d'incendie;</w:t>
      </w:r>
      <w:proofErr w:type="gramEnd"/>
      <w:r w:rsidRPr="00AF67AC">
        <w:rPr>
          <w:rFonts w:asciiTheme="minorHAnsi" w:hAnsiTheme="minorHAnsi" w:cstheme="minorHAnsi"/>
          <w:sz w:val="22"/>
          <w:szCs w:val="22"/>
        </w:rPr>
        <w:br/>
        <w:t>- interdictions relatives aux boissons alcoolisées et drogues;</w:t>
      </w:r>
      <w:r w:rsidRPr="00AF67AC">
        <w:rPr>
          <w:rFonts w:asciiTheme="minorHAnsi" w:hAnsiTheme="minorHAnsi" w:cstheme="minorHAnsi"/>
          <w:sz w:val="22"/>
          <w:szCs w:val="22"/>
        </w:rPr>
        <w:br/>
        <w:t>- interdiction de fumer.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3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Accès aux locaux</w:t>
      </w:r>
      <w:r w:rsidRPr="00AF67AC">
        <w:rPr>
          <w:rFonts w:asciiTheme="minorHAnsi" w:hAnsiTheme="minorHAnsi" w:cstheme="minorHAnsi"/>
          <w:sz w:val="22"/>
          <w:szCs w:val="22"/>
        </w:rPr>
        <w:br/>
        <w:t>- horaires de l'établissement;</w:t>
      </w:r>
      <w:r w:rsidRPr="00AF67AC">
        <w:rPr>
          <w:rFonts w:asciiTheme="minorHAnsi" w:hAnsiTheme="minorHAnsi" w:cstheme="minorHAnsi"/>
          <w:sz w:val="22"/>
          <w:szCs w:val="22"/>
        </w:rPr>
        <w:br/>
        <w:t>- accès libres à la salle de code.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4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Organisation des cours théoriques et pratiques</w:t>
      </w:r>
    </w:p>
    <w:p w14:paraId="1563DADD" w14:textId="240DC768" w:rsidR="00AF67AC" w:rsidRPr="00AF67AC" w:rsidRDefault="00AF67AC" w:rsidP="00AF67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67AC">
        <w:rPr>
          <w:rStyle w:val="Accentuation"/>
          <w:rFonts w:asciiTheme="minorHAnsi" w:hAnsiTheme="minorHAnsi" w:cstheme="minorHAnsi"/>
          <w:sz w:val="22"/>
          <w:szCs w:val="22"/>
          <w:u w:val="single"/>
        </w:rPr>
        <w:t>Entraînements au code</w:t>
      </w:r>
      <w:r w:rsidRPr="00AF67AC">
        <w:rPr>
          <w:rFonts w:asciiTheme="minorHAnsi" w:hAnsiTheme="minorHAnsi" w:cstheme="minorHAnsi"/>
          <w:sz w:val="22"/>
          <w:szCs w:val="22"/>
        </w:rPr>
        <w:br/>
        <w:t>- modalités d'accès à la salle (horaires) d'utilisation du DVD, de la Box et du boitier de réponse;</w:t>
      </w:r>
      <w:r w:rsidRPr="00AF67AC">
        <w:rPr>
          <w:rFonts w:asciiTheme="minorHAnsi" w:hAnsiTheme="minorHAnsi" w:cstheme="minorHAnsi"/>
          <w:sz w:val="22"/>
          <w:szCs w:val="22"/>
        </w:rPr>
        <w:br/>
        <w:t>- modalités d'utilisation, à distance, du logiciel d'entraînement au code.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Style w:val="Accentuation"/>
          <w:rFonts w:asciiTheme="minorHAnsi" w:hAnsiTheme="minorHAnsi" w:cstheme="minorHAnsi"/>
          <w:sz w:val="22"/>
          <w:szCs w:val="22"/>
          <w:u w:val="single"/>
        </w:rPr>
        <w:t>Cours théoriques</w:t>
      </w:r>
      <w:r w:rsidRPr="00AF67AC">
        <w:rPr>
          <w:rFonts w:asciiTheme="minorHAnsi" w:hAnsiTheme="minorHAnsi" w:cstheme="minorHAnsi"/>
          <w:sz w:val="22"/>
          <w:szCs w:val="22"/>
        </w:rPr>
        <w:br/>
        <w:t>- listes des thématiques abordées : alcool et stupéfiants, vitesse, défaut de port de la ceinture de sécurité.</w:t>
      </w:r>
      <w:r w:rsidRPr="00AF67AC">
        <w:rPr>
          <w:rFonts w:asciiTheme="minorHAnsi" w:hAnsiTheme="minorHAnsi" w:cstheme="minorHAnsi"/>
          <w:sz w:val="22"/>
          <w:szCs w:val="22"/>
        </w:rPr>
        <w:br/>
        <w:t>- modalités de mise en œuvre : cours collectifs dispensés par un enseignant en présentiel.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Style w:val="Accentuation"/>
          <w:rFonts w:asciiTheme="minorHAnsi" w:hAnsiTheme="minorHAnsi" w:cstheme="minorHAnsi"/>
          <w:sz w:val="22"/>
          <w:szCs w:val="22"/>
          <w:u w:val="single"/>
        </w:rPr>
        <w:t>Cours pratiques</w:t>
      </w:r>
      <w:r w:rsidRPr="00AF67AC">
        <w:rPr>
          <w:rFonts w:asciiTheme="minorHAnsi" w:hAnsiTheme="minorHAnsi" w:cstheme="minorHAnsi"/>
          <w:sz w:val="22"/>
          <w:szCs w:val="22"/>
        </w:rPr>
        <w:br/>
        <w:t>- évaluation de départ;</w:t>
      </w:r>
      <w:r w:rsidRPr="00AF67AC">
        <w:rPr>
          <w:rFonts w:asciiTheme="minorHAnsi" w:hAnsiTheme="minorHAnsi" w:cstheme="minorHAnsi"/>
          <w:sz w:val="22"/>
          <w:szCs w:val="22"/>
        </w:rPr>
        <w:br/>
        <w:t>- livret numérique d'apprentissage;</w:t>
      </w:r>
      <w:r w:rsidRPr="00AF67AC">
        <w:rPr>
          <w:rFonts w:asciiTheme="minorHAnsi" w:hAnsiTheme="minorHAnsi" w:cstheme="minorHAnsi"/>
          <w:sz w:val="22"/>
          <w:szCs w:val="22"/>
        </w:rPr>
        <w:br/>
        <w:t>- modalités de réservation et d'annulation des cours de conduites;</w:t>
      </w:r>
      <w:r w:rsidRPr="00AF67AC">
        <w:rPr>
          <w:rFonts w:asciiTheme="minorHAnsi" w:hAnsiTheme="minorHAnsi" w:cstheme="minorHAnsi"/>
          <w:sz w:val="22"/>
          <w:szCs w:val="22"/>
        </w:rPr>
        <w:br/>
        <w:t>- déroulement d'une leçon de conduite;</w:t>
      </w:r>
      <w:r w:rsidRPr="00AF67AC">
        <w:rPr>
          <w:rFonts w:asciiTheme="minorHAnsi" w:hAnsiTheme="minorHAnsi" w:cstheme="minorHAnsi"/>
          <w:sz w:val="22"/>
          <w:szCs w:val="22"/>
        </w:rPr>
        <w:br/>
        <w:t>- retard ...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lastRenderedPageBreak/>
        <w:br/>
        <w:t>Article 5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Tenue vestimentaire exigée pour les cours pratiques</w:t>
      </w:r>
      <w:r w:rsidRPr="00AF67AC">
        <w:rPr>
          <w:rFonts w:asciiTheme="minorHAnsi" w:hAnsiTheme="minorHAnsi" w:cstheme="minorHAnsi"/>
          <w:sz w:val="22"/>
          <w:szCs w:val="22"/>
        </w:rPr>
        <w:br/>
        <w:t>Pour la formation à la catégorie B : chaussures plates obligatoires (talons hauts et tongs interdits)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AF67AC">
        <w:rPr>
          <w:rFonts w:asciiTheme="minorHAnsi" w:hAnsiTheme="minorHAnsi" w:cstheme="minorHAnsi"/>
          <w:sz w:val="22"/>
          <w:szCs w:val="22"/>
        </w:rPr>
        <w:br/>
        <w:t>Article 6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Utilisation du matériel pédagogique</w:t>
      </w:r>
      <w:r w:rsidRPr="00AF67AC">
        <w:rPr>
          <w:rFonts w:asciiTheme="minorHAnsi" w:hAnsiTheme="minorHAnsi" w:cstheme="minorHAnsi"/>
          <w:sz w:val="22"/>
          <w:szCs w:val="22"/>
        </w:rPr>
        <w:br/>
        <w:t>- usage du matériel uniquement sur les lieux de formation et exclusivement réservé à l'activité de formation;</w:t>
      </w:r>
      <w:r w:rsidRPr="00AF67AC">
        <w:rPr>
          <w:rFonts w:asciiTheme="minorHAnsi" w:hAnsiTheme="minorHAnsi" w:cstheme="minorHAnsi"/>
          <w:sz w:val="22"/>
          <w:szCs w:val="22"/>
        </w:rPr>
        <w:br/>
        <w:t>- conservation en bon état du matériel, anomalie détectée.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7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Assiduité des stagiaires</w:t>
      </w:r>
      <w:r w:rsidRPr="00AF67AC">
        <w:rPr>
          <w:rFonts w:asciiTheme="minorHAnsi" w:hAnsiTheme="minorHAnsi" w:cstheme="minorHAnsi"/>
          <w:sz w:val="22"/>
          <w:szCs w:val="22"/>
        </w:rPr>
        <w:br/>
        <w:t>- respect des horaires de formation fixés par l'école de conduite</w:t>
      </w:r>
      <w:r w:rsidR="00D25F00">
        <w:rPr>
          <w:rFonts w:asciiTheme="minorHAnsi" w:hAnsiTheme="minorHAnsi" w:cstheme="minorHAnsi"/>
          <w:sz w:val="22"/>
          <w:szCs w:val="22"/>
        </w:rPr>
        <w:t> ;</w:t>
      </w:r>
      <w:r w:rsidRPr="00AF67AC">
        <w:rPr>
          <w:rFonts w:asciiTheme="minorHAnsi" w:hAnsiTheme="minorHAnsi" w:cstheme="minorHAnsi"/>
          <w:sz w:val="22"/>
          <w:szCs w:val="22"/>
        </w:rPr>
        <w:br/>
        <w:t>- gestion des absences, des retards.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8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Comportement des stagiaires</w:t>
      </w:r>
      <w:r w:rsidRPr="00AF67AC">
        <w:rPr>
          <w:rFonts w:asciiTheme="minorHAnsi" w:hAnsiTheme="minorHAnsi" w:cstheme="minorHAnsi"/>
          <w:sz w:val="22"/>
          <w:szCs w:val="22"/>
        </w:rPr>
        <w:br/>
        <w:t>- comportement garantissant le respect des règles élémentaires de savoir vivre, de savoir être en collectivité et le bon déroulement des formations;</w:t>
      </w:r>
      <w:r w:rsidRPr="00AF67AC">
        <w:rPr>
          <w:rFonts w:asciiTheme="minorHAnsi" w:hAnsiTheme="minorHAnsi" w:cstheme="minorHAnsi"/>
          <w:sz w:val="22"/>
          <w:szCs w:val="22"/>
        </w:rPr>
        <w:br/>
        <w:t>- respect du personnel enseignant et des autres élèves.</w:t>
      </w:r>
    </w:p>
    <w:p w14:paraId="32D01871" w14:textId="6CC1A2BA" w:rsidR="00AF67AC" w:rsidRPr="00AF67AC" w:rsidRDefault="00AF67AC" w:rsidP="00AF67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67AC">
        <w:rPr>
          <w:rFonts w:asciiTheme="minorHAnsi" w:hAnsiTheme="minorHAnsi" w:cstheme="minorHAnsi"/>
          <w:sz w:val="22"/>
          <w:szCs w:val="22"/>
        </w:rPr>
        <w:t>- respect du matériel mis à disposition</w:t>
      </w:r>
      <w:r w:rsidRPr="00AF67AC">
        <w:rPr>
          <w:rFonts w:asciiTheme="minorHAnsi" w:hAnsiTheme="minorHAnsi" w:cstheme="minorHAnsi"/>
          <w:sz w:val="22"/>
          <w:szCs w:val="22"/>
        </w:rPr>
        <w:br/>
      </w:r>
      <w:r w:rsidRPr="00AF67AC">
        <w:rPr>
          <w:rFonts w:asciiTheme="minorHAnsi" w:hAnsiTheme="minorHAnsi" w:cstheme="minorHAnsi"/>
          <w:sz w:val="22"/>
          <w:szCs w:val="22"/>
        </w:rPr>
        <w:br/>
        <w:t>Article 9 : </w:t>
      </w:r>
      <w:r w:rsidRPr="00AF67AC">
        <w:rPr>
          <w:rStyle w:val="lev"/>
          <w:rFonts w:asciiTheme="minorHAnsi" w:hAnsiTheme="minorHAnsi" w:cstheme="minorHAnsi"/>
          <w:sz w:val="22"/>
          <w:szCs w:val="22"/>
        </w:rPr>
        <w:t>Sanctions disciplinaires</w:t>
      </w:r>
      <w:r w:rsidRPr="00AF67AC">
        <w:rPr>
          <w:rFonts w:asciiTheme="minorHAnsi" w:hAnsiTheme="minorHAnsi" w:cstheme="minorHAnsi"/>
          <w:sz w:val="22"/>
          <w:szCs w:val="22"/>
        </w:rPr>
        <w:br/>
        <w:t>Échelle des sanctions : avertissement oral, avertissement écrit, suspension provisoire, exclusion définitive.</w:t>
      </w:r>
    </w:p>
    <w:p w14:paraId="6EED4DE7" w14:textId="77777777" w:rsidR="00AF67AC" w:rsidRPr="00AF67AC" w:rsidRDefault="00AF67AC">
      <w:pPr>
        <w:rPr>
          <w:rFonts w:cstheme="minorHAnsi"/>
          <w:sz w:val="20"/>
          <w:szCs w:val="20"/>
        </w:rPr>
      </w:pPr>
    </w:p>
    <w:sectPr w:rsidR="00AF67AC" w:rsidRPr="00AF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1971A5"/>
    <w:rsid w:val="001A00BD"/>
    <w:rsid w:val="00AA796D"/>
    <w:rsid w:val="00AF67AC"/>
    <w:rsid w:val="00CA7396"/>
    <w:rsid w:val="00D25F00"/>
    <w:rsid w:val="00D735BA"/>
    <w:rsid w:val="00D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F5BE"/>
  <w15:chartTrackingRefBased/>
  <w15:docId w15:val="{39EA46B6-5C75-4FA9-8BF4-C5653F3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39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7396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67A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F67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67A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A7396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3Car">
    <w:name w:val="Titre 3 Car"/>
    <w:basedOn w:val="Policepardfaut"/>
    <w:link w:val="Titre3"/>
    <w:uiPriority w:val="9"/>
    <w:rsid w:val="00CA7396"/>
    <w:rPr>
      <w:rFonts w:eastAsiaTheme="minorEastAsia"/>
      <w:caps/>
      <w:color w:val="1F3763" w:themeColor="accent1" w:themeShade="7F"/>
      <w:spacing w:val="1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8FD5-34E4-6F40-93EC-08D8CD8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</dc:creator>
  <cp:keywords/>
  <dc:description/>
  <cp:lastModifiedBy>Microsoft Office User</cp:lastModifiedBy>
  <cp:revision>6</cp:revision>
  <dcterms:created xsi:type="dcterms:W3CDTF">2025-11-11T20:05:00Z</dcterms:created>
  <dcterms:modified xsi:type="dcterms:W3CDTF">2026-01-15T21:05:00Z</dcterms:modified>
</cp:coreProperties>
</file>