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91C7" w14:textId="35474DAB" w:rsidR="007941AB" w:rsidRPr="00A41E8C" w:rsidRDefault="007941AB" w:rsidP="007941AB">
      <w:p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p w14:paraId="16E89DC9" w14:textId="12635E6E" w:rsidR="007941AB" w:rsidRPr="00A41E8C" w:rsidRDefault="007941AB" w:rsidP="007941AB">
      <w:pPr>
        <w:spacing w:line="360" w:lineRule="auto"/>
        <w:ind w:firstLine="708"/>
        <w:jc w:val="both"/>
        <w:rPr>
          <w:sz w:val="24"/>
          <w:szCs w:val="24"/>
        </w:rPr>
      </w:pPr>
      <w:r w:rsidRPr="00A41E8C">
        <w:rPr>
          <w:sz w:val="24"/>
          <w:szCs w:val="24"/>
        </w:rPr>
        <w:t xml:space="preserve">Joaquim Malafaia, dedica-se à advocacia </w:t>
      </w:r>
      <w:r w:rsidR="00644B1D">
        <w:rPr>
          <w:sz w:val="24"/>
          <w:szCs w:val="24"/>
        </w:rPr>
        <w:t xml:space="preserve">desde 1995, tendo escritório na Figueira da Foz e em Lisboa, </w:t>
      </w:r>
      <w:r w:rsidRPr="00A41E8C">
        <w:rPr>
          <w:sz w:val="24"/>
          <w:szCs w:val="24"/>
        </w:rPr>
        <w:t xml:space="preserve">praticando </w:t>
      </w:r>
      <w:r w:rsidR="00644B1D">
        <w:rPr>
          <w:sz w:val="24"/>
          <w:szCs w:val="24"/>
        </w:rPr>
        <w:t>todas as</w:t>
      </w:r>
      <w:r w:rsidRPr="00A41E8C">
        <w:rPr>
          <w:sz w:val="24"/>
          <w:szCs w:val="24"/>
        </w:rPr>
        <w:t xml:space="preserve"> áreas do direito civil, direito penal, </w:t>
      </w:r>
      <w:r w:rsidR="00F4100F" w:rsidRPr="00A41E8C">
        <w:rPr>
          <w:sz w:val="24"/>
          <w:szCs w:val="24"/>
        </w:rPr>
        <w:t xml:space="preserve">processo penal, </w:t>
      </w:r>
      <w:r w:rsidRPr="00A41E8C">
        <w:rPr>
          <w:sz w:val="24"/>
          <w:szCs w:val="24"/>
        </w:rPr>
        <w:t>direito da insolvência, direito das contraordenações</w:t>
      </w:r>
      <w:r w:rsidR="00644B1D">
        <w:rPr>
          <w:sz w:val="24"/>
          <w:szCs w:val="24"/>
        </w:rPr>
        <w:t>, direito penal tributário</w:t>
      </w:r>
      <w:r w:rsidR="00C72B9E" w:rsidRPr="00A41E8C">
        <w:rPr>
          <w:sz w:val="24"/>
          <w:szCs w:val="24"/>
        </w:rPr>
        <w:t xml:space="preserve"> e direito comercial</w:t>
      </w:r>
      <w:r w:rsidRPr="00A41E8C">
        <w:rPr>
          <w:sz w:val="24"/>
          <w:szCs w:val="24"/>
        </w:rPr>
        <w:t xml:space="preserve">. </w:t>
      </w:r>
    </w:p>
    <w:p w14:paraId="6C399D75" w14:textId="2EFF13A1" w:rsidR="007941AB" w:rsidRPr="00A41E8C" w:rsidRDefault="007941AB" w:rsidP="00F4100F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A41E8C">
        <w:rPr>
          <w:sz w:val="24"/>
          <w:szCs w:val="24"/>
        </w:rPr>
        <w:t>É licenciado em Direito pela Universidade Internacional de Lisboa</w:t>
      </w:r>
      <w:r w:rsidR="00644B1D">
        <w:rPr>
          <w:sz w:val="24"/>
          <w:szCs w:val="24"/>
        </w:rPr>
        <w:t>,</w:t>
      </w:r>
      <w:r w:rsidRPr="00A41E8C">
        <w:rPr>
          <w:sz w:val="24"/>
          <w:szCs w:val="24"/>
        </w:rPr>
        <w:t xml:space="preserve"> Mestre</w:t>
      </w:r>
      <w:r w:rsidRPr="00A41E8C">
        <w:rPr>
          <w:color w:val="000000"/>
          <w:sz w:val="24"/>
          <w:szCs w:val="24"/>
        </w:rPr>
        <w:t xml:space="preserve"> em Direito Judiciário (Direitos Processuais e Organização Judiciária), na Escola de Direito da Universidade do Minho</w:t>
      </w:r>
      <w:r w:rsidR="00F4100F" w:rsidRPr="00A41E8C">
        <w:rPr>
          <w:color w:val="000000"/>
          <w:sz w:val="24"/>
          <w:szCs w:val="24"/>
        </w:rPr>
        <w:t xml:space="preserve"> e p</w:t>
      </w:r>
      <w:r w:rsidRPr="00A41E8C">
        <w:rPr>
          <w:sz w:val="24"/>
          <w:szCs w:val="24"/>
        </w:rPr>
        <w:t>ós-gradua</w:t>
      </w:r>
      <w:r w:rsidR="00F4100F" w:rsidRPr="00A41E8C">
        <w:rPr>
          <w:sz w:val="24"/>
          <w:szCs w:val="24"/>
        </w:rPr>
        <w:t>do</w:t>
      </w:r>
      <w:r w:rsidRPr="00A41E8C">
        <w:rPr>
          <w:sz w:val="24"/>
          <w:szCs w:val="24"/>
        </w:rPr>
        <w:t xml:space="preserve"> em “Direito Penal Económico e Europeu”, no Instituto de Direito Penal Económico e Europeu da Faculdade de Direito da Universidade de Coimbra, em “Direito das Empresas”, na Universidade Internacional da Figueira da Foz, em “Estudos </w:t>
      </w:r>
      <w:proofErr w:type="spellStart"/>
      <w:r w:rsidRPr="00A41E8C">
        <w:rPr>
          <w:sz w:val="24"/>
          <w:szCs w:val="24"/>
        </w:rPr>
        <w:t>Psicocriminais</w:t>
      </w:r>
      <w:proofErr w:type="spellEnd"/>
      <w:r w:rsidRPr="00A41E8C">
        <w:rPr>
          <w:sz w:val="24"/>
          <w:szCs w:val="24"/>
        </w:rPr>
        <w:t>”, na Faculdade de Direito da Universidade Nova de Lisboa.</w:t>
      </w:r>
    </w:p>
    <w:p w14:paraId="121A3823" w14:textId="2CE73FA3" w:rsidR="007941AB" w:rsidRPr="00A41E8C" w:rsidRDefault="007941AB" w:rsidP="007941AB">
      <w:pPr>
        <w:spacing w:line="360" w:lineRule="auto"/>
        <w:jc w:val="both"/>
        <w:rPr>
          <w:color w:val="000000"/>
          <w:sz w:val="24"/>
          <w:szCs w:val="24"/>
        </w:rPr>
      </w:pPr>
      <w:r w:rsidRPr="00A41E8C">
        <w:rPr>
          <w:sz w:val="24"/>
          <w:szCs w:val="24"/>
        </w:rPr>
        <w:tab/>
        <w:t xml:space="preserve">Tem livros publicados, </w:t>
      </w:r>
      <w:r w:rsidRPr="00A41E8C">
        <w:rPr>
          <w:i/>
          <w:sz w:val="24"/>
          <w:szCs w:val="24"/>
        </w:rPr>
        <w:t xml:space="preserve">Os Efeitos das Decisões Judiciais no Processo Penal, </w:t>
      </w:r>
      <w:r w:rsidRPr="00A41E8C">
        <w:rPr>
          <w:sz w:val="24"/>
          <w:szCs w:val="24"/>
        </w:rPr>
        <w:t xml:space="preserve">GESTLEGAL, 2017 e </w:t>
      </w:r>
      <w:r w:rsidRPr="00A41E8C">
        <w:rPr>
          <w:i/>
          <w:iCs/>
          <w:sz w:val="24"/>
          <w:szCs w:val="24"/>
        </w:rPr>
        <w:t>Práticas de Processo Penal</w:t>
      </w:r>
      <w:r w:rsidRPr="00A41E8C">
        <w:rPr>
          <w:sz w:val="24"/>
          <w:szCs w:val="24"/>
        </w:rPr>
        <w:t xml:space="preserve">, na Editora d´Ideias </w:t>
      </w:r>
      <w:r w:rsidR="00C72B9E" w:rsidRPr="00A41E8C">
        <w:rPr>
          <w:sz w:val="24"/>
          <w:szCs w:val="24"/>
        </w:rPr>
        <w:t xml:space="preserve">2025 </w:t>
      </w:r>
      <w:r w:rsidRPr="00A41E8C">
        <w:rPr>
          <w:sz w:val="24"/>
          <w:szCs w:val="24"/>
        </w:rPr>
        <w:t xml:space="preserve">e vários artigos, “O Segredo Bancário Como Limite à Investigação Criminal”, </w:t>
      </w:r>
      <w:r w:rsidRPr="00A41E8C">
        <w:rPr>
          <w:i/>
          <w:sz w:val="24"/>
          <w:szCs w:val="24"/>
        </w:rPr>
        <w:t>in</w:t>
      </w:r>
      <w:r w:rsidRPr="00A41E8C">
        <w:rPr>
          <w:sz w:val="24"/>
          <w:szCs w:val="24"/>
        </w:rPr>
        <w:t xml:space="preserve"> </w:t>
      </w:r>
      <w:r w:rsidRPr="00A41E8C">
        <w:rPr>
          <w:i/>
          <w:sz w:val="24"/>
          <w:szCs w:val="24"/>
        </w:rPr>
        <w:t>R</w:t>
      </w:r>
      <w:r w:rsidR="00C72B9E" w:rsidRPr="00A41E8C">
        <w:rPr>
          <w:i/>
          <w:sz w:val="24"/>
          <w:szCs w:val="24"/>
        </w:rPr>
        <w:t>OA</w:t>
      </w:r>
      <w:r w:rsidRPr="00A41E8C">
        <w:rPr>
          <w:sz w:val="24"/>
          <w:szCs w:val="24"/>
        </w:rPr>
        <w:t xml:space="preserve">, Ano 59, 1999, I, “A insolvência, a falência e o crime do artigo 228.º do Código Penal”, </w:t>
      </w:r>
      <w:r w:rsidRPr="00A41E8C">
        <w:rPr>
          <w:i/>
          <w:sz w:val="24"/>
          <w:szCs w:val="24"/>
        </w:rPr>
        <w:t>in R</w:t>
      </w:r>
      <w:r w:rsidR="00C72B9E" w:rsidRPr="00A41E8C">
        <w:rPr>
          <w:i/>
          <w:sz w:val="24"/>
          <w:szCs w:val="24"/>
        </w:rPr>
        <w:t>PCC</w:t>
      </w:r>
      <w:r w:rsidRPr="00A41E8C">
        <w:rPr>
          <w:sz w:val="24"/>
          <w:szCs w:val="24"/>
        </w:rPr>
        <w:t xml:space="preserve">, Ano 11, fascículo 2.º, “O acusatório e o contraditório nas declarações prestadas nos atos de instrução e nas declarações para memória futura”, </w:t>
      </w:r>
      <w:r w:rsidRPr="00A41E8C">
        <w:rPr>
          <w:i/>
          <w:sz w:val="24"/>
          <w:szCs w:val="24"/>
        </w:rPr>
        <w:t>in R</w:t>
      </w:r>
      <w:r w:rsidR="00C72B9E" w:rsidRPr="00A41E8C">
        <w:rPr>
          <w:i/>
          <w:sz w:val="24"/>
          <w:szCs w:val="24"/>
        </w:rPr>
        <w:t>PCC</w:t>
      </w:r>
      <w:r w:rsidRPr="00A41E8C">
        <w:rPr>
          <w:sz w:val="24"/>
          <w:szCs w:val="24"/>
        </w:rPr>
        <w:t>, Ano 14, fascículo 4.º, “A i</w:t>
      </w:r>
      <w:r w:rsidRPr="00A41E8C">
        <w:rPr>
          <w:color w:val="000000"/>
          <w:sz w:val="24"/>
          <w:szCs w:val="24"/>
        </w:rPr>
        <w:t>nconstitucionalidade do n.º 1 do artigo 169.º no Código Penal”</w:t>
      </w:r>
      <w:r w:rsidRPr="00A41E8C">
        <w:rPr>
          <w:sz w:val="24"/>
          <w:szCs w:val="24"/>
        </w:rPr>
        <w:t xml:space="preserve"> </w:t>
      </w:r>
      <w:r w:rsidRPr="00A41E8C">
        <w:rPr>
          <w:i/>
          <w:sz w:val="24"/>
          <w:szCs w:val="24"/>
        </w:rPr>
        <w:t xml:space="preserve">in </w:t>
      </w:r>
      <w:r w:rsidR="00C72B9E" w:rsidRPr="00A41E8C">
        <w:rPr>
          <w:i/>
          <w:sz w:val="24"/>
          <w:szCs w:val="24"/>
        </w:rPr>
        <w:t>RPCC</w:t>
      </w:r>
      <w:r w:rsidRPr="00A41E8C">
        <w:rPr>
          <w:sz w:val="24"/>
          <w:szCs w:val="24"/>
        </w:rPr>
        <w:t>, Ano 19, fascículo 1.º, “A Linguagem no depoimento das testemunhas e a livre apreciação da prova em processo penal”,</w:t>
      </w:r>
      <w:r w:rsidRPr="00A41E8C">
        <w:rPr>
          <w:color w:val="000000"/>
          <w:sz w:val="24"/>
          <w:szCs w:val="24"/>
        </w:rPr>
        <w:t xml:space="preserve"> </w:t>
      </w:r>
      <w:r w:rsidRPr="00A41E8C">
        <w:rPr>
          <w:i/>
          <w:color w:val="000000"/>
          <w:sz w:val="24"/>
          <w:szCs w:val="24"/>
        </w:rPr>
        <w:t>in</w:t>
      </w:r>
      <w:r w:rsidRPr="00A41E8C">
        <w:rPr>
          <w:color w:val="000000"/>
          <w:sz w:val="24"/>
          <w:szCs w:val="24"/>
        </w:rPr>
        <w:t xml:space="preserve"> </w:t>
      </w:r>
      <w:r w:rsidRPr="00A41E8C">
        <w:rPr>
          <w:i/>
          <w:color w:val="000000"/>
          <w:sz w:val="24"/>
          <w:szCs w:val="24"/>
        </w:rPr>
        <w:t>R</w:t>
      </w:r>
      <w:r w:rsidR="00C72B9E" w:rsidRPr="00A41E8C">
        <w:rPr>
          <w:i/>
          <w:color w:val="000000"/>
          <w:sz w:val="24"/>
          <w:szCs w:val="24"/>
        </w:rPr>
        <w:t>PCC</w:t>
      </w:r>
      <w:r w:rsidRPr="00A41E8C">
        <w:rPr>
          <w:color w:val="000000"/>
          <w:sz w:val="24"/>
          <w:szCs w:val="24"/>
        </w:rPr>
        <w:t xml:space="preserve">, Ano 20.º, fascículo 4.º, “Da Admissibilidade da Instrução e da sua Inadmissibilidade Legal”, </w:t>
      </w:r>
      <w:r w:rsidRPr="00A41E8C">
        <w:rPr>
          <w:i/>
          <w:color w:val="000000"/>
          <w:sz w:val="24"/>
          <w:szCs w:val="24"/>
        </w:rPr>
        <w:t>in</w:t>
      </w:r>
      <w:r w:rsidRPr="00A41E8C">
        <w:rPr>
          <w:color w:val="000000"/>
          <w:sz w:val="24"/>
          <w:szCs w:val="24"/>
        </w:rPr>
        <w:t xml:space="preserve"> Estudos dos Advogados em Comemoração dos 100 anos do Tribunal da Relação de Coimbra, Almedina, “A obrigatoriedade de realização da audiência em recurso perante o Tribunal da Relação desde que requerida pelo arguido”, Newsletter do Conselho Regional </w:t>
      </w:r>
      <w:r w:rsidR="00C72B9E" w:rsidRPr="00A41E8C">
        <w:rPr>
          <w:color w:val="000000"/>
          <w:sz w:val="24"/>
          <w:szCs w:val="24"/>
        </w:rPr>
        <w:t xml:space="preserve">de Coimbra </w:t>
      </w:r>
      <w:r w:rsidRPr="00A41E8C">
        <w:rPr>
          <w:color w:val="000000"/>
          <w:sz w:val="24"/>
          <w:szCs w:val="24"/>
        </w:rPr>
        <w:t xml:space="preserve">da Ordem dos Advogados, </w:t>
      </w:r>
      <w:r w:rsidR="00C72B9E" w:rsidRPr="00A41E8C">
        <w:rPr>
          <w:color w:val="000000"/>
          <w:sz w:val="24"/>
          <w:szCs w:val="24"/>
        </w:rPr>
        <w:t>n</w:t>
      </w:r>
      <w:r w:rsidRPr="00A41E8C">
        <w:rPr>
          <w:color w:val="000000"/>
          <w:sz w:val="24"/>
          <w:szCs w:val="24"/>
        </w:rPr>
        <w:t>ovembro de 2021, vol</w:t>
      </w:r>
      <w:r w:rsidR="00C72B9E" w:rsidRPr="00A41E8C">
        <w:rPr>
          <w:color w:val="000000"/>
          <w:sz w:val="24"/>
          <w:szCs w:val="24"/>
        </w:rPr>
        <w:t>.</w:t>
      </w:r>
      <w:r w:rsidRPr="00A41E8C">
        <w:rPr>
          <w:color w:val="000000"/>
          <w:sz w:val="24"/>
          <w:szCs w:val="24"/>
        </w:rPr>
        <w:t xml:space="preserve"> 15, </w:t>
      </w:r>
      <w:r w:rsidRPr="00A41E8C">
        <w:rPr>
          <w:sz w:val="24"/>
          <w:szCs w:val="24"/>
        </w:rPr>
        <w:t>Anotação ao Acórdão do Tribunal Constitucional 616/2009 de 2 de Dezembro de 2009</w:t>
      </w:r>
      <w:r w:rsidR="00C72B9E" w:rsidRPr="00A41E8C">
        <w:rPr>
          <w:sz w:val="24"/>
          <w:szCs w:val="24"/>
        </w:rPr>
        <w:t>,</w:t>
      </w:r>
      <w:r w:rsidRPr="00A41E8C">
        <w:rPr>
          <w:sz w:val="24"/>
          <w:szCs w:val="24"/>
        </w:rPr>
        <w:t xml:space="preserve"> Processo n</w:t>
      </w:r>
      <w:r w:rsidR="00C72B9E" w:rsidRPr="00A41E8C">
        <w:rPr>
          <w:sz w:val="24"/>
          <w:szCs w:val="24"/>
        </w:rPr>
        <w:t>.º</w:t>
      </w:r>
      <w:r w:rsidRPr="00A41E8C">
        <w:rPr>
          <w:sz w:val="24"/>
          <w:szCs w:val="24"/>
        </w:rPr>
        <w:t xml:space="preserve"> 795/2009 - 3.ª Secção,</w:t>
      </w:r>
      <w:r w:rsidRPr="00A41E8C">
        <w:rPr>
          <w:color w:val="000000"/>
          <w:sz w:val="24"/>
          <w:szCs w:val="24"/>
        </w:rPr>
        <w:t xml:space="preserve"> </w:t>
      </w:r>
      <w:r w:rsidRPr="00A41E8C">
        <w:rPr>
          <w:i/>
          <w:color w:val="000000"/>
          <w:sz w:val="24"/>
          <w:szCs w:val="24"/>
        </w:rPr>
        <w:t xml:space="preserve">in </w:t>
      </w:r>
      <w:r w:rsidRPr="00A41E8C">
        <w:rPr>
          <w:color w:val="000000"/>
          <w:sz w:val="24"/>
          <w:szCs w:val="24"/>
        </w:rPr>
        <w:t>R</w:t>
      </w:r>
      <w:r w:rsidR="00C72B9E" w:rsidRPr="00A41E8C">
        <w:rPr>
          <w:color w:val="000000"/>
          <w:sz w:val="24"/>
          <w:szCs w:val="24"/>
        </w:rPr>
        <w:t>OA</w:t>
      </w:r>
      <w:r w:rsidRPr="00A41E8C">
        <w:rPr>
          <w:color w:val="000000"/>
          <w:sz w:val="24"/>
          <w:szCs w:val="24"/>
        </w:rPr>
        <w:t>, Ano 71, III.</w:t>
      </w:r>
    </w:p>
    <w:p w14:paraId="6E7653DC" w14:textId="47460E7B" w:rsidR="007941AB" w:rsidRPr="00A41E8C" w:rsidRDefault="007941AB" w:rsidP="00833F7E">
      <w:pPr>
        <w:spacing w:line="360" w:lineRule="auto"/>
        <w:jc w:val="both"/>
        <w:rPr>
          <w:sz w:val="24"/>
          <w:szCs w:val="24"/>
        </w:rPr>
      </w:pPr>
      <w:r w:rsidRPr="00A41E8C">
        <w:rPr>
          <w:color w:val="000000"/>
          <w:sz w:val="24"/>
          <w:szCs w:val="24"/>
        </w:rPr>
        <w:tab/>
      </w:r>
      <w:r w:rsidR="00F4100F" w:rsidRPr="00A41E8C">
        <w:rPr>
          <w:color w:val="000000"/>
          <w:sz w:val="24"/>
          <w:szCs w:val="24"/>
        </w:rPr>
        <w:t>Proferiu v</w:t>
      </w:r>
      <w:r w:rsidRPr="00A41E8C">
        <w:rPr>
          <w:color w:val="000000"/>
          <w:sz w:val="24"/>
          <w:szCs w:val="24"/>
        </w:rPr>
        <w:t>árias conferências</w:t>
      </w:r>
      <w:r w:rsidR="00C72B9E" w:rsidRPr="00A41E8C">
        <w:rPr>
          <w:color w:val="000000"/>
          <w:sz w:val="24"/>
          <w:szCs w:val="24"/>
        </w:rPr>
        <w:t xml:space="preserve">: </w:t>
      </w:r>
      <w:r w:rsidRPr="00A41E8C">
        <w:rPr>
          <w:i/>
          <w:sz w:val="24"/>
          <w:szCs w:val="24"/>
        </w:rPr>
        <w:t>Jornadas Sobre Crimes Sexuais</w:t>
      </w:r>
      <w:r w:rsidRPr="00A41E8C">
        <w:rPr>
          <w:sz w:val="24"/>
          <w:szCs w:val="24"/>
        </w:rPr>
        <w:t xml:space="preserve"> na Universidade Internacional da Figueira da Foz</w:t>
      </w:r>
      <w:r w:rsidR="00C72B9E" w:rsidRPr="00A41E8C">
        <w:rPr>
          <w:sz w:val="24"/>
          <w:szCs w:val="24"/>
        </w:rPr>
        <w:t>,</w:t>
      </w:r>
      <w:r w:rsidRPr="00A41E8C">
        <w:rPr>
          <w:sz w:val="24"/>
          <w:szCs w:val="24"/>
        </w:rPr>
        <w:t xml:space="preserve"> 17</w:t>
      </w:r>
      <w:r w:rsidR="00C72B9E" w:rsidRPr="00A41E8C">
        <w:rPr>
          <w:sz w:val="24"/>
          <w:szCs w:val="24"/>
        </w:rPr>
        <w:t>-05-2006</w:t>
      </w:r>
      <w:r w:rsidRPr="00A41E8C">
        <w:rPr>
          <w:sz w:val="24"/>
          <w:szCs w:val="24"/>
        </w:rPr>
        <w:t xml:space="preserve">, </w:t>
      </w:r>
      <w:r w:rsidR="00C72B9E" w:rsidRPr="00A41E8C">
        <w:rPr>
          <w:sz w:val="24"/>
          <w:szCs w:val="24"/>
        </w:rPr>
        <w:t>sob</w:t>
      </w:r>
      <w:r w:rsidRPr="00A41E8C">
        <w:rPr>
          <w:sz w:val="24"/>
          <w:szCs w:val="24"/>
        </w:rPr>
        <w:t>re o Lenocínio, no II Simpósio Ibérico de Segurança Rodoviária, Escola Superior de Tecnologia e Gestão do Instituto Politécnico de Leiria, 08</w:t>
      </w:r>
      <w:r w:rsidR="00C72B9E" w:rsidRPr="00A41E8C">
        <w:rPr>
          <w:sz w:val="24"/>
          <w:szCs w:val="24"/>
        </w:rPr>
        <w:t>-03-</w:t>
      </w:r>
      <w:r w:rsidRPr="00A41E8C">
        <w:rPr>
          <w:sz w:val="24"/>
          <w:szCs w:val="24"/>
        </w:rPr>
        <w:t xml:space="preserve">2019, sobre </w:t>
      </w:r>
      <w:r w:rsidRPr="00A41E8C">
        <w:rPr>
          <w:color w:val="000000"/>
          <w:sz w:val="24"/>
          <w:szCs w:val="24"/>
        </w:rPr>
        <w:t xml:space="preserve">o crime de condução de veículo em estado de embriaguez ou sob a influência de estupefacientes, </w:t>
      </w:r>
      <w:r w:rsidR="00C72B9E" w:rsidRPr="00A41E8C">
        <w:rPr>
          <w:color w:val="000000"/>
          <w:sz w:val="24"/>
          <w:szCs w:val="24"/>
        </w:rPr>
        <w:t>O</w:t>
      </w:r>
      <w:r w:rsidR="00833F7E" w:rsidRPr="00A41E8C">
        <w:rPr>
          <w:color w:val="000000"/>
          <w:sz w:val="24"/>
          <w:szCs w:val="24"/>
        </w:rPr>
        <w:t xml:space="preserve">s </w:t>
      </w:r>
      <w:r w:rsidRPr="00A41E8C">
        <w:rPr>
          <w:color w:val="000000"/>
          <w:sz w:val="24"/>
          <w:szCs w:val="24"/>
        </w:rPr>
        <w:t xml:space="preserve">Limites das Polícias Municipais no Âmbito das </w:t>
      </w:r>
      <w:r w:rsidRPr="00A41E8C">
        <w:rPr>
          <w:color w:val="000000"/>
          <w:sz w:val="24"/>
          <w:szCs w:val="24"/>
        </w:rPr>
        <w:lastRenderedPageBreak/>
        <w:t>Competências Criminais, Conferência Polícia Municipal, 7</w:t>
      </w:r>
      <w:r w:rsidR="00C72B9E" w:rsidRPr="00A41E8C">
        <w:rPr>
          <w:color w:val="000000"/>
          <w:sz w:val="24"/>
          <w:szCs w:val="24"/>
        </w:rPr>
        <w:t>-06-</w:t>
      </w:r>
      <w:r w:rsidRPr="00A41E8C">
        <w:rPr>
          <w:color w:val="000000"/>
          <w:sz w:val="24"/>
          <w:szCs w:val="24"/>
        </w:rPr>
        <w:t xml:space="preserve">2019, </w:t>
      </w:r>
      <w:r w:rsidR="00833F7E" w:rsidRPr="00A41E8C">
        <w:rPr>
          <w:color w:val="000000"/>
          <w:sz w:val="24"/>
          <w:szCs w:val="24"/>
        </w:rPr>
        <w:t>S</w:t>
      </w:r>
      <w:r w:rsidRPr="00A41E8C">
        <w:rPr>
          <w:color w:val="000000"/>
          <w:sz w:val="24"/>
          <w:szCs w:val="24"/>
        </w:rPr>
        <w:t>obre «Media e Justiça Penal» na Faculdade de Letras da Universidade de Coimbra, Departamento de Filosofia, Comunicação e Informação, curso de Jornalismo e Comunicação, 21</w:t>
      </w:r>
      <w:r w:rsidR="00C72B9E" w:rsidRPr="00A41E8C">
        <w:rPr>
          <w:color w:val="000000"/>
          <w:sz w:val="24"/>
          <w:szCs w:val="24"/>
        </w:rPr>
        <w:t>-11-</w:t>
      </w:r>
      <w:r w:rsidRPr="00A41E8C">
        <w:rPr>
          <w:color w:val="000000"/>
          <w:sz w:val="24"/>
          <w:szCs w:val="24"/>
        </w:rPr>
        <w:t>2019</w:t>
      </w:r>
      <w:r w:rsidR="00833F7E" w:rsidRPr="00A41E8C">
        <w:rPr>
          <w:color w:val="000000"/>
          <w:sz w:val="24"/>
          <w:szCs w:val="24"/>
        </w:rPr>
        <w:t xml:space="preserve">, </w:t>
      </w:r>
      <w:r w:rsidR="00C72B9E" w:rsidRPr="00A41E8C">
        <w:rPr>
          <w:color w:val="000000"/>
          <w:sz w:val="24"/>
          <w:szCs w:val="24"/>
        </w:rPr>
        <w:t>C</w:t>
      </w:r>
      <w:r w:rsidRPr="00A41E8C">
        <w:rPr>
          <w:color w:val="000000"/>
          <w:sz w:val="24"/>
          <w:szCs w:val="24"/>
        </w:rPr>
        <w:t xml:space="preserve">onferência proferida sob a organização conjunta dos Conselhos Regionais de Coimbra, de Lisboa, dos Açores, do Porto, de Évora, de Faro da Ordem dos Advogados, </w:t>
      </w:r>
      <w:proofErr w:type="spellStart"/>
      <w:r w:rsidRPr="00A41E8C">
        <w:rPr>
          <w:i/>
          <w:color w:val="000000"/>
          <w:sz w:val="24"/>
          <w:szCs w:val="24"/>
        </w:rPr>
        <w:t>on</w:t>
      </w:r>
      <w:proofErr w:type="spellEnd"/>
      <w:r w:rsidRPr="00A41E8C">
        <w:rPr>
          <w:i/>
          <w:color w:val="000000"/>
          <w:sz w:val="24"/>
          <w:szCs w:val="24"/>
        </w:rPr>
        <w:t xml:space="preserve"> </w:t>
      </w:r>
      <w:proofErr w:type="spellStart"/>
      <w:r w:rsidRPr="00A41E8C">
        <w:rPr>
          <w:i/>
          <w:color w:val="000000"/>
          <w:sz w:val="24"/>
          <w:szCs w:val="24"/>
        </w:rPr>
        <w:t>line</w:t>
      </w:r>
      <w:proofErr w:type="spellEnd"/>
      <w:r w:rsidRPr="00A41E8C">
        <w:rPr>
          <w:color w:val="000000"/>
          <w:sz w:val="24"/>
          <w:szCs w:val="24"/>
        </w:rPr>
        <w:t>, sobre o regime excecional de flexibilização da execução das penas e das medidas de graça, em 17</w:t>
      </w:r>
      <w:r w:rsidR="00C72B9E" w:rsidRPr="00A41E8C">
        <w:rPr>
          <w:color w:val="000000"/>
          <w:sz w:val="24"/>
          <w:szCs w:val="24"/>
        </w:rPr>
        <w:t>-04-</w:t>
      </w:r>
      <w:r w:rsidRPr="00A41E8C">
        <w:rPr>
          <w:color w:val="000000"/>
          <w:sz w:val="24"/>
          <w:szCs w:val="24"/>
        </w:rPr>
        <w:t>2020</w:t>
      </w:r>
      <w:r w:rsidR="00833F7E" w:rsidRPr="00A41E8C">
        <w:rPr>
          <w:color w:val="000000"/>
          <w:sz w:val="24"/>
          <w:szCs w:val="24"/>
        </w:rPr>
        <w:t xml:space="preserve"> e </w:t>
      </w:r>
      <w:r w:rsidRPr="00A41E8C">
        <w:rPr>
          <w:color w:val="000000"/>
          <w:sz w:val="24"/>
          <w:szCs w:val="24"/>
        </w:rPr>
        <w:t>Conferência no Colóquio Internacional Jovens Adultos e crime: as (</w:t>
      </w:r>
      <w:proofErr w:type="spellStart"/>
      <w:r w:rsidRPr="00A41E8C">
        <w:rPr>
          <w:color w:val="000000"/>
          <w:sz w:val="24"/>
          <w:szCs w:val="24"/>
        </w:rPr>
        <w:t>des</w:t>
      </w:r>
      <w:proofErr w:type="spellEnd"/>
      <w:r w:rsidRPr="00A41E8C">
        <w:rPr>
          <w:color w:val="000000"/>
          <w:sz w:val="24"/>
          <w:szCs w:val="24"/>
        </w:rPr>
        <w:t>)articulações entre a Sociedade, a Lei e a Justiça Penal, em 16-05-2022, na Faculdade de Economia da Universidade de Coimbra.</w:t>
      </w:r>
    </w:p>
    <w:p w14:paraId="60C55794" w14:textId="637FCE6F" w:rsidR="00D92F29" w:rsidRPr="00A41E8C" w:rsidRDefault="007941AB" w:rsidP="00C72B9E">
      <w:pPr>
        <w:spacing w:line="360" w:lineRule="auto"/>
        <w:jc w:val="both"/>
        <w:rPr>
          <w:sz w:val="24"/>
          <w:szCs w:val="24"/>
        </w:rPr>
      </w:pPr>
      <w:r w:rsidRPr="00A41E8C">
        <w:rPr>
          <w:sz w:val="24"/>
          <w:szCs w:val="24"/>
        </w:rPr>
        <w:tab/>
        <w:t xml:space="preserve">Formador </w:t>
      </w:r>
      <w:r w:rsidR="00C72B9E" w:rsidRPr="00A41E8C">
        <w:rPr>
          <w:sz w:val="24"/>
          <w:szCs w:val="24"/>
        </w:rPr>
        <w:t>de Processo Penal n</w:t>
      </w:r>
      <w:r w:rsidRPr="00A41E8C">
        <w:rPr>
          <w:sz w:val="24"/>
          <w:szCs w:val="24"/>
        </w:rPr>
        <w:t>o Conselho Regional de Coimbra da Ordem dos Advogados desde</w:t>
      </w:r>
      <w:r w:rsidR="00C72B9E" w:rsidRPr="00A41E8C">
        <w:rPr>
          <w:sz w:val="24"/>
          <w:szCs w:val="24"/>
        </w:rPr>
        <w:t xml:space="preserve"> 02-12-2019</w:t>
      </w:r>
      <w:r w:rsidRPr="00A41E8C">
        <w:rPr>
          <w:sz w:val="24"/>
          <w:szCs w:val="24"/>
        </w:rPr>
        <w:t>.</w:t>
      </w:r>
    </w:p>
    <w:sectPr w:rsidR="00D92F29" w:rsidRPr="00A41E8C" w:rsidSect="007941AB">
      <w:footerReference w:type="even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D971" w14:textId="77777777" w:rsidR="0013157B" w:rsidRDefault="0013157B">
      <w:r>
        <w:separator/>
      </w:r>
    </w:p>
  </w:endnote>
  <w:endnote w:type="continuationSeparator" w:id="0">
    <w:p w14:paraId="7D7665F1" w14:textId="77777777" w:rsidR="0013157B" w:rsidRDefault="0013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3BF1" w14:textId="77777777" w:rsidR="00E26F45" w:rsidRDefault="00000000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14:paraId="28DB7215" w14:textId="77777777" w:rsidR="00E26F45" w:rsidRDefault="00E26F4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4C55" w14:textId="77777777" w:rsidR="00E26F45" w:rsidRDefault="00000000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10</w:t>
    </w:r>
    <w:r>
      <w:rPr>
        <w:rStyle w:val="Nmerodepgina"/>
        <w:rFonts w:eastAsiaTheme="majorEastAsia"/>
      </w:rPr>
      <w:fldChar w:fldCharType="end"/>
    </w:r>
  </w:p>
  <w:p w14:paraId="21613B30" w14:textId="77777777" w:rsidR="00E26F45" w:rsidRDefault="00E26F4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666F" w14:textId="77777777" w:rsidR="0013157B" w:rsidRDefault="0013157B">
      <w:r>
        <w:separator/>
      </w:r>
    </w:p>
  </w:footnote>
  <w:footnote w:type="continuationSeparator" w:id="0">
    <w:p w14:paraId="394257D1" w14:textId="77777777" w:rsidR="0013157B" w:rsidRDefault="0013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AB"/>
    <w:rsid w:val="0013157B"/>
    <w:rsid w:val="003232CF"/>
    <w:rsid w:val="00644B1D"/>
    <w:rsid w:val="007941AB"/>
    <w:rsid w:val="00833F7E"/>
    <w:rsid w:val="00996CDF"/>
    <w:rsid w:val="00A41E8C"/>
    <w:rsid w:val="00BA2E99"/>
    <w:rsid w:val="00C72B9E"/>
    <w:rsid w:val="00D92F29"/>
    <w:rsid w:val="00E26F45"/>
    <w:rsid w:val="00F4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9E43"/>
  <w15:chartTrackingRefBased/>
  <w15:docId w15:val="{3F311D42-92DD-4A9D-9595-006C2195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1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941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941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941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941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941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941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941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941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941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94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94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94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941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941A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941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941A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941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941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94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9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941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94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941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941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41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7941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94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941A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941AB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arter"/>
    <w:rsid w:val="007941AB"/>
    <w:pPr>
      <w:jc w:val="both"/>
    </w:pPr>
    <w:rPr>
      <w:sz w:val="28"/>
    </w:rPr>
  </w:style>
  <w:style w:type="character" w:customStyle="1" w:styleId="CorpodetextoCarter">
    <w:name w:val="Corpo de texto Caráter"/>
    <w:basedOn w:val="Tipodeletrapredefinidodopargrafo"/>
    <w:link w:val="Corpodetexto"/>
    <w:rsid w:val="007941AB"/>
    <w:rPr>
      <w:rFonts w:ascii="Times New Roman" w:eastAsia="Times New Roman" w:hAnsi="Times New Roman" w:cs="Times New Roman"/>
      <w:kern w:val="0"/>
      <w:sz w:val="28"/>
      <w:szCs w:val="20"/>
      <w:lang w:eastAsia="pt-PT"/>
      <w14:ligatures w14:val="none"/>
    </w:rPr>
  </w:style>
  <w:style w:type="paragraph" w:styleId="Avanodecorpodetexto">
    <w:name w:val="Body Text Indent"/>
    <w:basedOn w:val="Normal"/>
    <w:link w:val="AvanodecorpodetextoCarter"/>
    <w:rsid w:val="007941AB"/>
    <w:pPr>
      <w:ind w:firstLine="708"/>
      <w:jc w:val="both"/>
    </w:pPr>
    <w:rPr>
      <w:sz w:val="28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7941AB"/>
    <w:rPr>
      <w:rFonts w:ascii="Times New Roman" w:eastAsia="Times New Roman" w:hAnsi="Times New Roman" w:cs="Times New Roman"/>
      <w:kern w:val="0"/>
      <w:sz w:val="28"/>
      <w:szCs w:val="20"/>
      <w:lang w:eastAsia="pt-PT"/>
      <w14:ligatures w14:val="none"/>
    </w:rPr>
  </w:style>
  <w:style w:type="paragraph" w:styleId="Rodap">
    <w:name w:val="footer"/>
    <w:basedOn w:val="Normal"/>
    <w:link w:val="RodapCarter"/>
    <w:rsid w:val="007941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7941AB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character" w:styleId="Nmerodepgina">
    <w:name w:val="page number"/>
    <w:basedOn w:val="Tipodeletrapredefinidodopargrafo"/>
    <w:rsid w:val="0079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1B7163A09ED45A251566103C5A889" ma:contentTypeVersion="17" ma:contentTypeDescription="Create a new document." ma:contentTypeScope="" ma:versionID="f87e3e0f1b22fb2aaef81d9ff6f1c1e5">
  <xsd:schema xmlns:xsd="http://www.w3.org/2001/XMLSchema" xmlns:xs="http://www.w3.org/2001/XMLSchema" xmlns:p="http://schemas.microsoft.com/office/2006/metadata/properties" xmlns:ns1="http://schemas.microsoft.com/sharepoint/v3" xmlns:ns2="f8abd340-ec5b-4c57-8f7d-7ad6fa3414f3" xmlns:ns3="9f1968f9-00c5-4412-862d-792f6d35c5f4" targetNamespace="http://schemas.microsoft.com/office/2006/metadata/properties" ma:root="true" ma:fieldsID="ac5e340600af002ffb4d215843b6d702" ns1:_="" ns2:_="" ns3:_="">
    <xsd:import namespace="http://schemas.microsoft.com/sharepoint/v3"/>
    <xsd:import namespace="f8abd340-ec5b-4c57-8f7d-7ad6fa3414f3"/>
    <xsd:import namespace="9f1968f9-00c5-4412-862d-792f6d35c5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bd340-ec5b-4c57-8f7d-7ad6fa341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486bc33-f660-4515-be11-067499eb15f2}" ma:internalName="TaxCatchAll" ma:showField="CatchAllData" ma:web="f8abd340-ec5b-4c57-8f7d-7ad6fa341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68f9-00c5-4412-862d-792f6d35c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ff2d93-437e-42fa-aa64-ea40061073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8abd340-ec5b-4c57-8f7d-7ad6fa3414f3" xsi:nil="true"/>
    <lcf76f155ced4ddcb4097134ff3c332f xmlns="9f1968f9-00c5-4412-862d-792f6d35c5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F56C78-1C96-4C8E-B673-94D73BE715F2}"/>
</file>

<file path=customXml/itemProps2.xml><?xml version="1.0" encoding="utf-8"?>
<ds:datastoreItem xmlns:ds="http://schemas.openxmlformats.org/officeDocument/2006/customXml" ds:itemID="{300B8B7C-119F-4E88-BC27-A1D2F28A6152}"/>
</file>

<file path=customXml/itemProps3.xml><?xml version="1.0" encoding="utf-8"?>
<ds:datastoreItem xmlns:ds="http://schemas.openxmlformats.org/officeDocument/2006/customXml" ds:itemID="{D82A5BEE-B3DC-41B4-ABCC-76BD7675D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Malafaia</dc:creator>
  <cp:keywords/>
  <dc:description/>
  <cp:lastModifiedBy>Joaquim Malafaia</cp:lastModifiedBy>
  <cp:revision>4</cp:revision>
  <dcterms:created xsi:type="dcterms:W3CDTF">2025-08-28T09:50:00Z</dcterms:created>
  <dcterms:modified xsi:type="dcterms:W3CDTF">2025-09-16T09:54:00Z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0x010100C8C1B7163A09ED45A251566103C5A889</vt:lpwstr>
  </property>
</Properties>
</file>